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sz w:val="22"/>
          <w:szCs w:val="20"/>
          <w:highlight w:val="none"/>
        </w:rPr>
      </w:pPr>
      <w:r>
        <w:rPr>
          <w:rFonts w:ascii="宋体" w:hAnsi="宋体"/>
          <w:color w:val="auto"/>
          <w:sz w:val="22"/>
          <w:szCs w:val="20"/>
          <w:highlight w:val="none"/>
        </w:rPr>
      </w:r>
      <w:r/>
    </w:p>
    <w:p>
      <w:pPr>
        <w:jc w:val="right"/>
        <w:keepLines w:val="0"/>
        <w:keepNext w:val="0"/>
        <w:pageBreakBefore w:val="0"/>
        <w:spacing w:line="360" w:lineRule="auto"/>
        <w:widowControl w:val="off"/>
        <w:rPr>
          <w:rFonts w:hint="eastAsia" w:ascii="宋体" w:hAnsi="宋体"/>
          <w:b/>
          <w:bCs/>
          <w:color w:val="auto"/>
          <w:sz w:val="20"/>
          <w:szCs w:val="20"/>
          <w:highlight w:val="none"/>
          <w:lang w:eastAsia="zh-CN"/>
        </w:rPr>
      </w:pPr>
      <w:r>
        <w:rPr>
          <w:rFonts w:hint="eastAsia" w:ascii="宋体" w:hAnsi="宋体"/>
          <w:b/>
          <w:bCs/>
          <w:color w:val="auto"/>
          <w:sz w:val="20"/>
          <w:szCs w:val="20"/>
          <w:highlight w:val="none"/>
        </w:rPr>
        <w:t xml:space="preserve">编号：</w:t>
      </w:r>
      <w:r>
        <w:rPr>
          <w:rFonts w:hint="eastAsia" w:ascii="宋体" w:hAnsi="宋体"/>
          <w:b/>
          <w:bCs/>
          <w:color w:val="auto"/>
          <w:sz w:val="20"/>
          <w:szCs w:val="20"/>
          <w:highlight w:val="none"/>
          <w:lang w:eastAsia="zh-CN"/>
        </w:rPr>
        <w:t xml:space="preserve">JSZC-321081-BYGC-G2025-0019</w:t>
      </w:r>
      <w:r/>
    </w:p>
    <w:p>
      <w:pPr>
        <w:pStyle w:val="919"/>
        <w:keepLines/>
        <w:keepNext/>
        <w:pageBreakBefore w:val="0"/>
        <w:spacing w:before="0" w:after="0" w:line="240" w:lineRule="auto"/>
        <w:widowControl w:val="off"/>
        <w:rPr>
          <w:sz w:val="6"/>
          <w:szCs w:val="6"/>
          <w:highlight w:val="none"/>
        </w:rPr>
      </w:pPr>
      <w:r>
        <w:rPr>
          <w:sz w:val="6"/>
          <w:szCs w:val="6"/>
          <w:highlight w:val="none"/>
        </w:rPr>
      </w:r>
      <w:r/>
    </w:p>
    <w:p>
      <w:pPr>
        <w:jc w:val="center"/>
        <w:keepLines w:val="0"/>
        <w:keepNext w:val="0"/>
        <w:pageBreakBefore w:val="0"/>
        <w:spacing w:after="157" w:line="360" w:lineRule="auto"/>
        <w:widowControl w:val="off"/>
        <w:rPr>
          <w:rFonts w:hint="default" w:ascii="宋体" w:hAnsi="宋体" w:eastAsia="宋体" w:cs="Times New Roman"/>
          <w:b/>
          <w:bCs/>
          <w:color w:val="auto"/>
          <w:sz w:val="36"/>
          <w:szCs w:val="36"/>
          <w:highlight w:val="none"/>
          <w:lang w:eastAsia="zh-CN"/>
        </w:rPr>
      </w:pPr>
      <w:r>
        <w:rPr>
          <w:rFonts w:hint="eastAsia" w:ascii="宋体" w:hAnsi="宋体" w:cs="Times New Roman"/>
          <w:b/>
          <w:bCs/>
          <w:color w:val="auto"/>
          <w:sz w:val="36"/>
          <w:szCs w:val="36"/>
          <w:highlight w:val="none"/>
          <w:lang w:eastAsia="zh-CN"/>
        </w:rPr>
        <w:t xml:space="preserve"> </w:t>
      </w:r>
      <w:r>
        <w:rPr>
          <w:rFonts w:hint="default" w:ascii="宋体" w:hAnsi="宋体" w:cs="Times New Roman"/>
          <w:b/>
          <w:bCs/>
          <w:color w:val="auto"/>
          <w:sz w:val="36"/>
          <w:szCs w:val="36"/>
          <w:highlight w:val="none"/>
          <w:lang w:eastAsia="zh-CN"/>
        </w:rPr>
        <w:t xml:space="preserve">仪征市应急管理局安全生产考试点特种作业考试设备更新升级项目</w:t>
      </w:r>
      <w:r/>
    </w:p>
    <w:p>
      <w:pPr>
        <w:jc w:val="center"/>
        <w:pageBreakBefore w:val="0"/>
        <w:spacing w:line="360" w:lineRule="auto"/>
        <w:widowControl w:val="off"/>
        <w:rPr>
          <w:rFonts w:ascii="宋体" w:hAnsi="宋体"/>
          <w:color w:val="auto"/>
          <w:sz w:val="36"/>
          <w:highlight w:val="none"/>
        </w:rPr>
      </w:pPr>
      <w:r>
        <w:rPr>
          <w:rFonts w:hint="eastAsia" w:ascii="宋体" w:hAnsi="宋体"/>
          <w:b/>
          <w:bCs/>
          <w:color w:val="auto"/>
          <w:sz w:val="36"/>
          <w:szCs w:val="36"/>
          <w:highlight w:val="none"/>
        </w:rPr>
        <w:t xml:space="preserve">公开招标文件</w:t>
      </w:r>
      <w:r/>
    </w:p>
    <w:p>
      <w:pPr>
        <w:jc w:val="center"/>
        <w:rPr>
          <w:rFonts w:ascii="宋体" w:hAnsi="宋体"/>
          <w:color w:val="auto"/>
          <w:sz w:val="36"/>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5562600" cy="4559935"/>
                <wp:effectExtent l="0" t="0" r="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562600" cy="4559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8.0pt;height:359.0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eastAsia="宋体" w:cs="Times New Roman"/>
          <w:b/>
          <w:bCs/>
          <w:color w:val="auto"/>
          <w:sz w:val="36"/>
          <w:highlight w:val="none"/>
          <w:lang w:val="en-US" w:eastAsia="zh-CN"/>
        </w:rPr>
      </w:pPr>
      <w:r>
        <w:rPr>
          <w:rFonts w:hint="eastAsia" w:ascii="宋体" w:hAnsi="宋体" w:eastAsia="宋体" w:cs="Times New Roman"/>
          <w:b/>
          <w:bCs/>
          <w:color w:val="auto"/>
          <w:sz w:val="36"/>
          <w:highlight w:val="none"/>
          <w:lang w:val="en-US" w:eastAsia="zh-CN"/>
        </w:rPr>
      </w:r>
      <w:r/>
    </w:p>
    <w:p>
      <w:pPr>
        <w:jc w:val="center"/>
        <w:rPr>
          <w:rFonts w:ascii="宋体" w:hAnsi="宋体"/>
          <w:color w:val="auto"/>
          <w:sz w:val="36"/>
          <w:szCs w:val="36"/>
          <w:highlight w:val="none"/>
        </w:rPr>
      </w:pPr>
      <w:r>
        <w:rPr>
          <w:rFonts w:hint="eastAsia" w:ascii="宋体" w:hAnsi="宋体" w:eastAsia="宋体" w:cs="Times New Roman"/>
          <w:b/>
          <w:bCs/>
          <w:color w:val="auto"/>
          <w:sz w:val="36"/>
          <w:szCs w:val="36"/>
          <w:highlight w:val="none"/>
          <w:lang w:val="en-US" w:eastAsia="zh-CN"/>
        </w:rPr>
        <w:t xml:space="preserve">招标人：</w:t>
      </w:r>
      <w:r>
        <w:rPr>
          <w:rFonts w:hint="eastAsia" w:ascii="宋体" w:hAnsi="宋体" w:cs="Times New Roman"/>
          <w:b/>
          <w:bCs/>
          <w:color w:val="auto"/>
          <w:sz w:val="36"/>
          <w:szCs w:val="36"/>
          <w:highlight w:val="none"/>
          <w:lang w:eastAsia="zh-CN"/>
        </w:rPr>
        <w:t xml:space="preserve">仪征市应急管理局</w:t>
      </w:r>
      <w:r/>
    </w:p>
    <w:p>
      <w:pPr>
        <w:jc w:val="center"/>
        <w:rPr>
          <w:rFonts w:hint="eastAsia" w:ascii="宋体" w:hAnsi="宋体" w:eastAsia="宋体"/>
          <w:b/>
          <w:bCs/>
          <w:color w:val="auto"/>
          <w:sz w:val="36"/>
          <w:szCs w:val="36"/>
          <w:highlight w:val="none"/>
          <w:lang w:eastAsia="zh-CN"/>
        </w:rPr>
      </w:pPr>
      <w:r>
        <w:rPr>
          <w:rFonts w:hint="eastAsia" w:ascii="宋体" w:hAnsi="宋体"/>
          <w:b/>
          <w:bCs/>
          <w:color w:val="auto"/>
          <w:sz w:val="36"/>
          <w:szCs w:val="36"/>
          <w:highlight w:val="none"/>
          <w:lang w:val="en-US" w:eastAsia="zh-CN"/>
        </w:rPr>
        <w:t xml:space="preserve">代理机构：</w:t>
      </w:r>
      <w:r>
        <w:rPr>
          <w:rFonts w:hint="eastAsia" w:ascii="宋体" w:hAnsi="宋体"/>
          <w:b/>
          <w:bCs/>
          <w:color w:val="auto"/>
          <w:sz w:val="36"/>
          <w:szCs w:val="36"/>
          <w:highlight w:val="none"/>
          <w:lang w:eastAsia="zh-CN"/>
        </w:rPr>
        <w:t xml:space="preserve">扬州博远工程咨询有限公司</w:t>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202</w:t>
      </w:r>
      <w:r>
        <w:rPr>
          <w:rFonts w:hint="eastAsia" w:ascii="宋体" w:hAnsi="宋体"/>
          <w:b/>
          <w:bCs/>
          <w:color w:val="auto"/>
          <w:sz w:val="36"/>
          <w:szCs w:val="36"/>
          <w:highlight w:val="none"/>
          <w:lang w:val="en-US" w:eastAsia="zh-CN"/>
        </w:rPr>
        <w:t xml:space="preserve">5</w:t>
      </w:r>
      <w:r>
        <w:rPr>
          <w:rFonts w:hint="eastAsia" w:ascii="宋体" w:hAnsi="宋体"/>
          <w:b/>
          <w:bCs/>
          <w:color w:val="auto"/>
          <w:sz w:val="36"/>
          <w:szCs w:val="36"/>
          <w:highlight w:val="none"/>
        </w:rPr>
        <w:t xml:space="preserve">年</w:t>
      </w:r>
      <w:r>
        <w:rPr>
          <w:rFonts w:hint="eastAsia" w:ascii="宋体" w:hAnsi="宋体"/>
          <w:b/>
          <w:bCs/>
          <w:color w:val="auto"/>
          <w:sz w:val="36"/>
          <w:szCs w:val="36"/>
          <w:highlight w:val="none"/>
          <w:lang w:val="en-US" w:eastAsia="zh-CN"/>
        </w:rPr>
        <w:t xml:space="preserve">12</w:t>
      </w:r>
      <w:r>
        <w:rPr>
          <w:rFonts w:hint="eastAsia" w:ascii="宋体" w:hAnsi="宋体"/>
          <w:b/>
          <w:bCs/>
          <w:color w:val="auto"/>
          <w:sz w:val="36"/>
          <w:szCs w:val="36"/>
          <w:highlight w:val="none"/>
        </w:rPr>
        <w:t xml:space="preserve">月</w:t>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rPr>
          <w:rFonts w:hint="eastAsia" w:ascii="宋体" w:hAnsi="宋体"/>
          <w:b/>
          <w:bCs/>
          <w:color w:val="auto"/>
          <w:sz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rPr>
          <w:rFonts w:hint="eastAsia" w:ascii="宋体" w:hAnsi="宋体"/>
          <w:b/>
          <w:bCs/>
          <w:color w:val="auto"/>
          <w:sz w:val="36"/>
          <w:szCs w:val="36"/>
          <w:highlight w:val="none"/>
        </w:rPr>
      </w:r>
      <w:r/>
    </w:p>
    <w:p>
      <w:pPr>
        <w:jc w:val="center"/>
        <w:rPr>
          <w:rFonts w:hint="eastAsia" w:ascii="宋体" w:hAnsi="宋体"/>
          <w:b/>
          <w:bCs/>
          <w:color w:val="auto"/>
          <w:sz w:val="36"/>
          <w:szCs w:val="36"/>
          <w:highlight w:val="none"/>
        </w:rPr>
      </w:pPr>
      <w:r>
        <w:rPr>
          <w:rFonts w:hint="eastAsia" w:ascii="宋体" w:hAnsi="宋体"/>
          <w:b/>
          <w:bCs/>
          <w:color w:val="auto"/>
          <w:sz w:val="36"/>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目</w:t>
      </w:r>
      <w:r>
        <w:rPr>
          <w:rFonts w:ascii="宋体" w:hAnsi="宋体"/>
          <w:color w:val="auto"/>
          <w:sz w:val="32"/>
          <w:highlight w:val="none"/>
        </w:rPr>
        <w:t xml:space="preserve"> 录</w:t>
      </w:r>
      <w:r/>
    </w:p>
    <w:p>
      <w:pPr>
        <w:pStyle w:val="929"/>
        <w:rPr>
          <w:rFonts w:hint="eastAsia"/>
          <w:color w:val="auto"/>
          <w:highlight w:val="none"/>
        </w:rPr>
      </w:pPr>
      <w:r>
        <w:rPr>
          <w:rFonts w:hint="eastAsia"/>
          <w:color w:val="auto"/>
          <w:highlight w:val="none"/>
        </w:rPr>
      </w:r>
      <w:r>
        <w:rPr>
          <w:rFonts w:hint="eastAsia"/>
          <w:color w:val="auto"/>
          <w:highlight w:val="none"/>
        </w:rPr>
      </w:r>
      <w:r/>
    </w:p>
    <w:p>
      <w:pPr>
        <w:pStyle w:val="929"/>
        <w:rPr>
          <w:rFonts w:hint="eastAsia"/>
          <w:color w:val="auto"/>
          <w:highlight w:val="none"/>
        </w:rPr>
      </w:pPr>
      <w:r>
        <w:rPr>
          <w:rFonts w:hint="eastAsia"/>
          <w:color w:val="auto"/>
          <w:highlight w:val="none"/>
        </w:rPr>
      </w:r>
      <w:r/>
    </w:p>
    <w:p>
      <w:pPr>
        <w:pStyle w:val="936"/>
        <w:tabs>
          <w:tab w:val="right" w:pos="8306" w:leader="dot"/>
        </w:tabs>
        <w:rPr>
          <w:color w:val="auto"/>
          <w:sz w:val="28"/>
          <w:szCs w:val="32"/>
          <w:highlight w:val="none"/>
        </w:rPr>
      </w:pPr>
      <w:r>
        <w:rPr>
          <w:rFonts w:ascii="宋体" w:hAnsi="宋体"/>
          <w:color w:val="auto"/>
          <w:sz w:val="40"/>
          <w:szCs w:val="32"/>
          <w:highlight w:val="none"/>
        </w:rPr>
        <w:fldChar w:fldCharType="begin"/>
      </w:r>
      <w:r>
        <w:rPr>
          <w:rFonts w:ascii="宋体" w:hAnsi="宋体"/>
          <w:color w:val="auto"/>
          <w:sz w:val="40"/>
          <w:szCs w:val="32"/>
          <w:highlight w:val="none"/>
        </w:rPr>
        <w:instrText xml:space="preserve">TOC \o "1-3" \h \u </w:instrText>
      </w:r>
      <w:r>
        <w:rPr>
          <w:rFonts w:ascii="宋体" w:hAnsi="宋体"/>
          <w:color w:val="auto"/>
          <w:sz w:val="40"/>
          <w:szCs w:val="32"/>
          <w:highlight w:val="none"/>
        </w:rPr>
        <w:fldChar w:fldCharType="separate"/>
      </w: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_Toc21730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第一章</w:t>
      </w:r>
      <w:r>
        <w:rPr>
          <w:rFonts w:ascii="宋体" w:hAnsi="宋体"/>
          <w:color w:val="auto"/>
          <w:sz w:val="28"/>
          <w:szCs w:val="32"/>
          <w:highlight w:val="none"/>
        </w:rPr>
        <w:t xml:space="preserve"> 招标公告</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_Toc21730 </w:instrText>
      </w:r>
      <w:r>
        <w:rPr>
          <w:color w:val="auto"/>
          <w:sz w:val="28"/>
          <w:szCs w:val="32"/>
          <w:highlight w:val="none"/>
        </w:rPr>
        <w:fldChar w:fldCharType="separate"/>
      </w:r>
      <w:r>
        <w:rPr>
          <w:color w:val="auto"/>
          <w:sz w:val="28"/>
          <w:szCs w:val="32"/>
          <w:highlight w:val="none"/>
        </w:rPr>
        <w:t xml:space="preserve">3</w:t>
      </w:r>
      <w:r>
        <w:rPr>
          <w:color w:val="auto"/>
          <w:sz w:val="28"/>
          <w:szCs w:val="32"/>
          <w:highlight w:val="none"/>
        </w:rPr>
        <w:fldChar w:fldCharType="end"/>
      </w:r>
      <w:r>
        <w:rPr>
          <w:rFonts w:ascii="宋体" w:hAnsi="宋体"/>
          <w:color w:val="auto"/>
          <w:sz w:val="28"/>
          <w:szCs w:val="32"/>
          <w:highlight w:val="none"/>
        </w:rPr>
        <w:fldChar w:fldCharType="end"/>
      </w:r>
      <w:r/>
    </w:p>
    <w:p>
      <w:pPr>
        <w:pStyle w:val="936"/>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_Toc9071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第二章 投标人须知</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_Toc9071 </w:instrText>
      </w:r>
      <w:r>
        <w:rPr>
          <w:color w:val="auto"/>
          <w:sz w:val="28"/>
          <w:szCs w:val="32"/>
          <w:highlight w:val="none"/>
        </w:rPr>
        <w:fldChar w:fldCharType="separate"/>
      </w:r>
      <w:r>
        <w:rPr>
          <w:color w:val="auto"/>
          <w:sz w:val="28"/>
          <w:szCs w:val="32"/>
          <w:highlight w:val="none"/>
        </w:rPr>
        <w:t xml:space="preserve">4</w:t>
      </w:r>
      <w:r>
        <w:rPr>
          <w:color w:val="auto"/>
          <w:sz w:val="28"/>
          <w:szCs w:val="32"/>
          <w:highlight w:val="none"/>
        </w:rPr>
        <w:fldChar w:fldCharType="end"/>
      </w:r>
      <w:r>
        <w:rPr>
          <w:rFonts w:ascii="宋体" w:hAnsi="宋体"/>
          <w:color w:val="auto"/>
          <w:sz w:val="28"/>
          <w:szCs w:val="32"/>
          <w:highlight w:val="none"/>
        </w:rPr>
        <w:fldChar w:fldCharType="end"/>
      </w:r>
      <w:r/>
    </w:p>
    <w:p>
      <w:pPr>
        <w:pStyle w:val="936"/>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_Toc22415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第三章 合同</w:t>
      </w:r>
      <w:r>
        <w:rPr>
          <w:rFonts w:hint="eastAsia" w:ascii="宋体" w:hAnsi="宋体"/>
          <w:color w:val="auto"/>
          <w:sz w:val="28"/>
          <w:szCs w:val="32"/>
          <w:highlight w:val="none"/>
          <w:lang w:val="en-US" w:eastAsia="zh-CN"/>
        </w:rPr>
        <w:t xml:space="preserve">文本</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_Toc22415 </w:instrText>
      </w:r>
      <w:r>
        <w:rPr>
          <w:color w:val="auto"/>
          <w:sz w:val="28"/>
          <w:szCs w:val="32"/>
          <w:highlight w:val="none"/>
        </w:rPr>
        <w:fldChar w:fldCharType="separate"/>
      </w:r>
      <w:r>
        <w:rPr>
          <w:color w:val="auto"/>
          <w:sz w:val="28"/>
          <w:szCs w:val="32"/>
          <w:highlight w:val="none"/>
        </w:rPr>
        <w:t xml:space="preserve">19</w:t>
      </w:r>
      <w:r>
        <w:rPr>
          <w:color w:val="auto"/>
          <w:sz w:val="28"/>
          <w:szCs w:val="32"/>
          <w:highlight w:val="none"/>
        </w:rPr>
        <w:fldChar w:fldCharType="end"/>
      </w:r>
      <w:r>
        <w:rPr>
          <w:rFonts w:ascii="宋体" w:hAnsi="宋体"/>
          <w:color w:val="auto"/>
          <w:sz w:val="28"/>
          <w:szCs w:val="32"/>
          <w:highlight w:val="none"/>
        </w:rPr>
        <w:fldChar w:fldCharType="end"/>
      </w:r>
      <w:r/>
    </w:p>
    <w:p>
      <w:pPr>
        <w:pStyle w:val="936"/>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_Toc32147 </w:instrText>
      </w:r>
      <w:r>
        <w:rPr>
          <w:rFonts w:ascii="宋体" w:hAnsi="宋体"/>
          <w:color w:val="auto"/>
          <w:sz w:val="28"/>
          <w:szCs w:val="32"/>
          <w:highlight w:val="none"/>
        </w:rPr>
        <w:fldChar w:fldCharType="separate"/>
      </w:r>
      <w:r>
        <w:rPr>
          <w:rFonts w:hint="eastAsia" w:ascii="宋体" w:hAnsi="宋体"/>
          <w:bCs/>
          <w:color w:val="auto"/>
          <w:sz w:val="28"/>
          <w:szCs w:val="32"/>
          <w:highlight w:val="none"/>
        </w:rPr>
        <w:t xml:space="preserve">第四章 </w:t>
      </w:r>
      <w:r>
        <w:rPr>
          <w:rFonts w:hint="eastAsia" w:ascii="宋体" w:hAnsi="宋体"/>
          <w:bCs/>
          <w:color w:val="auto"/>
          <w:sz w:val="28"/>
          <w:szCs w:val="32"/>
          <w:highlight w:val="none"/>
          <w:lang w:val="en-US" w:eastAsia="zh-CN"/>
        </w:rPr>
        <w:t xml:space="preserve">采购</w:t>
      </w:r>
      <w:r>
        <w:rPr>
          <w:rFonts w:hint="eastAsia" w:ascii="宋体" w:hAnsi="宋体"/>
          <w:bCs/>
          <w:color w:val="auto"/>
          <w:sz w:val="28"/>
          <w:szCs w:val="32"/>
          <w:highlight w:val="none"/>
        </w:rPr>
        <w:t xml:space="preserve">需求</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_Toc32147 </w:instrText>
      </w:r>
      <w:r>
        <w:rPr>
          <w:color w:val="auto"/>
          <w:sz w:val="28"/>
          <w:szCs w:val="32"/>
          <w:highlight w:val="none"/>
        </w:rPr>
        <w:fldChar w:fldCharType="separate"/>
      </w:r>
      <w:r>
        <w:rPr>
          <w:color w:val="auto"/>
          <w:sz w:val="28"/>
          <w:szCs w:val="32"/>
          <w:highlight w:val="none"/>
        </w:rPr>
        <w:t xml:space="preserve">25</w:t>
      </w:r>
      <w:r>
        <w:rPr>
          <w:color w:val="auto"/>
          <w:sz w:val="28"/>
          <w:szCs w:val="32"/>
          <w:highlight w:val="none"/>
        </w:rPr>
        <w:fldChar w:fldCharType="end"/>
      </w:r>
      <w:r>
        <w:rPr>
          <w:rFonts w:ascii="宋体" w:hAnsi="宋体"/>
          <w:color w:val="auto"/>
          <w:sz w:val="28"/>
          <w:szCs w:val="32"/>
          <w:highlight w:val="none"/>
        </w:rPr>
        <w:fldChar w:fldCharType="end"/>
      </w:r>
      <w:r/>
    </w:p>
    <w:p>
      <w:pPr>
        <w:pStyle w:val="936"/>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_Toc12363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第五章 </w:t>
      </w:r>
      <w:r>
        <w:rPr>
          <w:rFonts w:hint="eastAsia" w:ascii="宋体" w:hAnsi="宋体"/>
          <w:color w:val="auto"/>
          <w:sz w:val="28"/>
          <w:szCs w:val="32"/>
          <w:highlight w:val="none"/>
          <w:lang w:val="en-US" w:eastAsia="zh-CN"/>
        </w:rPr>
        <w:t xml:space="preserve">评审方法与评标标准</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_Toc12363 </w:instrText>
      </w:r>
      <w:r>
        <w:rPr>
          <w:color w:val="auto"/>
          <w:sz w:val="28"/>
          <w:szCs w:val="32"/>
          <w:highlight w:val="none"/>
        </w:rPr>
        <w:fldChar w:fldCharType="separate"/>
      </w:r>
      <w:r>
        <w:rPr>
          <w:color w:val="auto"/>
          <w:sz w:val="28"/>
          <w:szCs w:val="32"/>
          <w:highlight w:val="none"/>
        </w:rPr>
        <w:t xml:space="preserve">34</w:t>
      </w:r>
      <w:r>
        <w:rPr>
          <w:color w:val="auto"/>
          <w:sz w:val="28"/>
          <w:szCs w:val="32"/>
          <w:highlight w:val="none"/>
        </w:rPr>
        <w:fldChar w:fldCharType="end"/>
      </w:r>
      <w:r>
        <w:rPr>
          <w:rFonts w:ascii="宋体" w:hAnsi="宋体"/>
          <w:color w:val="auto"/>
          <w:sz w:val="28"/>
          <w:szCs w:val="32"/>
          <w:highlight w:val="none"/>
        </w:rPr>
        <w:fldChar w:fldCharType="end"/>
      </w:r>
      <w:r/>
    </w:p>
    <w:p>
      <w:pPr>
        <w:pStyle w:val="936"/>
        <w:tabs>
          <w:tab w:val="right" w:pos="8306" w:leader="dot"/>
        </w:tabs>
        <w:rPr>
          <w:color w:val="auto"/>
          <w:sz w:val="28"/>
          <w:szCs w:val="32"/>
          <w:highlight w:val="none"/>
        </w:rPr>
      </w:pPr>
      <w:r>
        <w:rPr>
          <w:rFonts w:ascii="宋体" w:hAnsi="宋体"/>
          <w:color w:val="auto"/>
          <w:sz w:val="28"/>
          <w:szCs w:val="32"/>
          <w:highlight w:val="none"/>
        </w:rPr>
        <w:fldChar w:fldCharType="begin"/>
      </w:r>
      <w:r>
        <w:rPr>
          <w:rFonts w:ascii="宋体" w:hAnsi="宋体"/>
          <w:color w:val="auto"/>
          <w:sz w:val="28"/>
          <w:szCs w:val="32"/>
          <w:highlight w:val="none"/>
        </w:rPr>
        <w:instrText xml:space="preserve"> HYPERLINK \l _Toc9577 </w:instrText>
      </w:r>
      <w:r>
        <w:rPr>
          <w:rFonts w:ascii="宋体" w:hAnsi="宋体"/>
          <w:color w:val="auto"/>
          <w:sz w:val="28"/>
          <w:szCs w:val="32"/>
          <w:highlight w:val="none"/>
        </w:rPr>
        <w:fldChar w:fldCharType="separate"/>
      </w:r>
      <w:r>
        <w:rPr>
          <w:rFonts w:hint="eastAsia" w:ascii="宋体" w:hAnsi="宋体"/>
          <w:color w:val="auto"/>
          <w:sz w:val="28"/>
          <w:szCs w:val="32"/>
          <w:highlight w:val="none"/>
        </w:rPr>
        <w:t xml:space="preserve">第六章 投标文件格式</w:t>
      </w:r>
      <w:r>
        <w:rPr>
          <w:color w:val="auto"/>
          <w:sz w:val="28"/>
          <w:szCs w:val="32"/>
          <w:highlight w:val="none"/>
        </w:rPr>
        <w:tab/>
      </w:r>
      <w:r>
        <w:rPr>
          <w:rFonts w:hint="eastAsia"/>
          <w:color w:val="auto"/>
          <w:sz w:val="28"/>
          <w:szCs w:val="32"/>
          <w:highlight w:val="none"/>
        </w:rPr>
        <w:t xml:space="preserve">30</w:t>
      </w:r>
      <w:r>
        <w:rPr>
          <w:rFonts w:ascii="宋体" w:hAnsi="宋体"/>
          <w:color w:val="auto"/>
          <w:sz w:val="28"/>
          <w:szCs w:val="32"/>
          <w:highlight w:val="none"/>
        </w:rPr>
        <w:fldChar w:fldCharType="end"/>
      </w:r>
      <w:r/>
    </w:p>
    <w:p>
      <w:pPr>
        <w:pStyle w:val="936"/>
        <w:tabs>
          <w:tab w:val="right" w:pos="8306" w:leader="dot"/>
        </w:tabs>
        <w:rPr>
          <w:rFonts w:ascii="宋体" w:hAnsi="宋体"/>
          <w:color w:val="auto"/>
          <w:sz w:val="28"/>
          <w:highlight w:val="none"/>
        </w:rPr>
      </w:pPr>
      <w:r>
        <w:rPr>
          <w:rFonts w:ascii="宋体" w:hAnsi="宋体"/>
          <w:color w:val="auto"/>
          <w:sz w:val="28"/>
          <w:szCs w:val="32"/>
          <w:highlight w:val="none"/>
        </w:rPr>
        <w:fldChar w:fldCharType="end"/>
      </w:r>
      <w:r/>
    </w:p>
    <w:p>
      <w:pPr>
        <w:pStyle w:val="936"/>
        <w:tabs>
          <w:tab w:val="right" w:pos="8306" w:leader="dot"/>
        </w:tabs>
        <w:rPr>
          <w:rFonts w:ascii="宋体" w:hAnsi="宋体"/>
          <w:color w:val="auto"/>
          <w:sz w:val="28"/>
          <w:highlight w:val="none"/>
        </w:rPr>
      </w:pPr>
      <w:r>
        <w:rPr>
          <w:rFonts w:ascii="宋体" w:hAnsi="宋体"/>
          <w:color w:val="auto"/>
          <w:sz w:val="28"/>
          <w:highlight w:val="none"/>
        </w:rPr>
      </w:r>
      <w:r/>
    </w:p>
    <w:p>
      <w:pPr>
        <w:pStyle w:val="936"/>
        <w:tabs>
          <w:tab w:val="right" w:pos="8306" w:leader="dot"/>
        </w:tabs>
        <w:rPr>
          <w:rFonts w:ascii="宋体" w:hAnsi="宋体"/>
          <w:color w:val="auto"/>
          <w:sz w:val="28"/>
          <w:highlight w:val="none"/>
        </w:rPr>
      </w:pPr>
      <w:r>
        <w:rPr>
          <w:rFonts w:ascii="宋体" w:hAnsi="宋体"/>
          <w:color w:val="auto"/>
          <w:sz w:val="28"/>
          <w:highlight w:val="none"/>
        </w:rPr>
      </w:r>
      <w:r/>
    </w:p>
    <w:p>
      <w:pPr>
        <w:pStyle w:val="936"/>
        <w:tabs>
          <w:tab w:val="right" w:pos="8306" w:leader="dot"/>
        </w:tabs>
        <w:rPr>
          <w:rFonts w:ascii="宋体" w:hAnsi="宋体"/>
          <w:color w:val="auto"/>
          <w:sz w:val="28"/>
          <w:highlight w:val="none"/>
        </w:rPr>
      </w:pPr>
      <w:r>
        <w:rPr>
          <w:rFonts w:ascii="宋体" w:hAnsi="宋体"/>
          <w:color w:val="auto"/>
          <w:sz w:val="28"/>
          <w:highlight w:val="none"/>
        </w:rPr>
      </w:r>
      <w:r/>
    </w:p>
    <w:p>
      <w:pPr>
        <w:pStyle w:val="936"/>
        <w:tabs>
          <w:tab w:val="right" w:pos="8306" w:leader="dot"/>
        </w:tabs>
        <w:rPr>
          <w:rFonts w:ascii="宋体" w:hAnsi="宋体"/>
          <w:color w:val="auto"/>
          <w:sz w:val="28"/>
          <w:highlight w:val="none"/>
        </w:rPr>
      </w:pPr>
      <w:r>
        <w:rPr>
          <w:rFonts w:ascii="宋体" w:hAnsi="宋体"/>
          <w:color w:val="auto"/>
          <w:sz w:val="28"/>
          <w:highlight w:val="none"/>
        </w:rPr>
      </w:r>
      <w:r/>
    </w:p>
    <w:p>
      <w:pPr>
        <w:rPr>
          <w:rFonts w:ascii="宋体" w:hAnsi="宋体"/>
          <w:color w:val="auto"/>
          <w:sz w:val="28"/>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28"/>
          <w:highlight w:val="none"/>
        </w:rPr>
      </w:r>
      <w:r/>
    </w:p>
    <w:p>
      <w:pPr>
        <w:pStyle w:val="918"/>
        <w:jc w:val="center"/>
        <w:keepLines/>
        <w:keepNext/>
        <w:pageBreakBefore w:val="0"/>
        <w:spacing w:before="100" w:after="210" w:line="360" w:lineRule="auto"/>
        <w:widowControl w:val="off"/>
        <w:rPr>
          <w:rFonts w:ascii="宋体" w:hAnsi="宋体" w:eastAsia="宋体" w:cs="Times New Roman"/>
          <w:b/>
          <w:bCs/>
          <w:color w:val="auto"/>
          <w:sz w:val="36"/>
          <w:highlight w:val="none"/>
        </w:rPr>
      </w:pPr>
      <w:r/>
      <w:bookmarkStart w:id="0" w:name="_Toc21730"/>
      <w:r/>
      <w:bookmarkStart w:id="1" w:name="_Toc512692547"/>
      <w:r/>
      <w:bookmarkStart w:id="2" w:name="_Toc976"/>
      <w:r/>
      <w:bookmarkStart w:id="3" w:name="_Toc534644770"/>
      <w:r>
        <w:rPr>
          <w:rFonts w:hint="eastAsia" w:ascii="宋体" w:hAnsi="宋体"/>
          <w:color w:val="auto"/>
          <w:sz w:val="36"/>
          <w:highlight w:val="none"/>
        </w:rPr>
        <w:t xml:space="preserve">第一章</w:t>
      </w:r>
      <w:r>
        <w:rPr>
          <w:rFonts w:ascii="宋体" w:hAnsi="宋体"/>
          <w:color w:val="auto"/>
          <w:sz w:val="36"/>
          <w:highlight w:val="none"/>
        </w:rPr>
        <w:t xml:space="preserve"> </w:t>
      </w:r>
      <w:r>
        <w:rPr>
          <w:rFonts w:hint="eastAsia" w:ascii="Calibri" w:hAnsi="Calibri" w:eastAsia="宋体" w:cs="Times New Roman"/>
          <w:b/>
          <w:bCs/>
          <w:color w:val="auto"/>
          <w:sz w:val="36"/>
          <w:szCs w:val="36"/>
          <w:highlight w:val="none"/>
          <w:lang w:val="en-US" w:eastAsia="zh-CN" w:bidi="ar-SA"/>
        </w:rPr>
        <w:t xml:space="preserve"> </w:t>
      </w:r>
      <w:r>
        <w:rPr>
          <w:rFonts w:ascii="宋体" w:hAnsi="宋体" w:eastAsia="宋体" w:cs="Times New Roman"/>
          <w:b/>
          <w:bCs/>
          <w:color w:val="auto"/>
          <w:sz w:val="36"/>
          <w:highlight w:val="none"/>
        </w:rPr>
        <w:t xml:space="preserve">招标公告</w:t>
      </w:r>
      <w:bookmarkEnd w:id="0"/>
      <w:r/>
      <w:bookmarkEnd w:id="1"/>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仪征市应急管理局</w:t>
      </w:r>
      <w:r>
        <w:rPr>
          <w:rFonts w:hint="eastAsia" w:ascii="宋体" w:hAnsi="宋体" w:cs="宋体"/>
          <w:color w:val="auto"/>
          <w:szCs w:val="21"/>
          <w:highlight w:val="none"/>
        </w:rPr>
        <w:t xml:space="preserve">委托，</w:t>
      </w:r>
      <w:r>
        <w:rPr>
          <w:rFonts w:hint="eastAsia" w:ascii="宋体" w:hAnsi="宋体" w:cs="宋体"/>
          <w:color w:val="auto"/>
          <w:szCs w:val="21"/>
          <w:highlight w:val="none"/>
          <w:lang w:eastAsia="zh-CN"/>
        </w:rPr>
        <w:t xml:space="preserve">扬州博远工程咨询有限公司</w:t>
      </w:r>
      <w:r>
        <w:rPr>
          <w:rFonts w:hint="eastAsia" w:ascii="宋体" w:hAnsi="宋体" w:cs="宋体"/>
          <w:color w:val="auto"/>
          <w:szCs w:val="21"/>
          <w:highlight w:val="none"/>
        </w:rPr>
        <w:t xml:space="preserve">就</w:t>
      </w:r>
      <w:r>
        <w:rPr>
          <w:rFonts w:hint="default" w:ascii="宋体" w:hAnsi="宋体" w:cs="宋体"/>
          <w:color w:val="auto"/>
          <w:szCs w:val="21"/>
          <w:highlight w:val="none"/>
          <w:lang w:eastAsia="zh-CN"/>
        </w:rPr>
        <w:t xml:space="preserve">仪征市应急管理局安全生产考试点特种作业考试设备更新升级项目(项目编号：</w:t>
      </w:r>
      <w:r>
        <w:rPr>
          <w:rFonts w:hint="eastAsia" w:ascii="宋体" w:hAnsi="宋体" w:cs="宋体"/>
          <w:color w:val="auto"/>
          <w:szCs w:val="21"/>
          <w:highlight w:val="none"/>
          <w:lang w:eastAsia="zh-CN"/>
        </w:rPr>
        <w:t xml:space="preserve">JSZC-321081-BYGC-G2025-0019</w:t>
      </w:r>
      <w:r>
        <w:rPr>
          <w:rFonts w:hint="default" w:ascii="宋体" w:hAnsi="宋体" w:cs="宋体"/>
          <w:color w:val="auto"/>
          <w:szCs w:val="21"/>
          <w:highlight w:val="none"/>
          <w:lang w:eastAsia="zh-CN"/>
        </w:rPr>
        <w:t xml:space="preserve">)</w:t>
      </w:r>
      <w:r>
        <w:rPr>
          <w:rFonts w:hint="eastAsia" w:ascii="宋体" w:hAnsi="宋体" w:cs="宋体"/>
          <w:color w:val="auto"/>
          <w:szCs w:val="21"/>
          <w:highlight w:val="none"/>
        </w:rPr>
        <w:t xml:space="preserve">进行公开招标采购，现欢迎符合条件的供应商投标。</w:t>
      </w:r>
      <w:r/>
    </w:p>
    <w:p>
      <w:pPr>
        <w:ind w:firstLine="422"/>
        <w:rPr>
          <w:rFonts w:ascii="宋体" w:hAnsi="宋体" w:cs="宋体"/>
          <w:b/>
          <w:bCs/>
          <w:color w:val="auto"/>
          <w:szCs w:val="21"/>
          <w:highlight w:val="none"/>
          <w:u w:val="single"/>
          <w:lang w:bidi="ar"/>
        </w:rPr>
        <w:pBdr>
          <w:top w:val="single" w:color="auto" w:sz="4" w:space="1"/>
          <w:left w:val="single" w:color="auto" w:sz="4" w:space="4"/>
          <w:bottom w:val="single" w:color="auto" w:sz="4" w:space="1"/>
          <w:right w:val="single" w:color="auto" w:sz="4" w:space="4"/>
        </w:pBdr>
      </w:pPr>
      <w:r/>
      <w:bookmarkStart w:id="4" w:name="_Toc35393629"/>
      <w:r/>
      <w:bookmarkStart w:id="5" w:name="_Toc35393798"/>
      <w:r/>
      <w:bookmarkStart w:id="6" w:name="_Toc28359012"/>
      <w:r/>
      <w:bookmarkStart w:id="7" w:name="_Toc28359089"/>
      <w:r/>
      <w:bookmarkStart w:id="8" w:name="_Toc512692548"/>
      <w:r>
        <w:rPr>
          <w:rFonts w:hint="eastAsia" w:ascii="宋体" w:hAnsi="宋体" w:cs="宋体"/>
          <w:b/>
          <w:bCs/>
          <w:color w:val="auto"/>
          <w:szCs w:val="21"/>
          <w:highlight w:val="none"/>
          <w:lang w:bidi="ar"/>
        </w:rPr>
        <w:t xml:space="preserve">项目概况</w:t>
      </w:r>
      <w:r/>
    </w:p>
    <w:p>
      <w:pPr>
        <w:ind w:firstLine="420"/>
        <w:jc w:val="left"/>
        <w:spacing w:before="92" w:after="150" w:line="360" w:lineRule="auto"/>
        <w:widowControl/>
        <w:rPr>
          <w:rFonts w:hint="eastAsia"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default" w:ascii="宋体" w:hAnsi="宋体" w:cs="宋体"/>
          <w:color w:val="auto"/>
          <w:szCs w:val="21"/>
          <w:highlight w:val="none"/>
          <w:u w:val="single"/>
          <w:lang w:eastAsia="zh-CN" w:bidi="ar"/>
        </w:rPr>
        <w:t xml:space="preserve">仪征市应急管理局安全生产考试点特种作业考试设备更新升级项目</w:t>
      </w:r>
      <w:r>
        <w:rPr>
          <w:rFonts w:hint="eastAsia" w:ascii="宋体" w:hAnsi="宋体" w:cs="宋体"/>
          <w:color w:val="auto"/>
          <w:szCs w:val="21"/>
          <w:highlight w:val="none"/>
          <w:lang w:bidi="ar"/>
        </w:rPr>
        <w:t xml:space="preserve">的潜在投标人可在</w:t>
      </w:r>
      <w:r>
        <w:rPr>
          <w:rFonts w:hint="eastAsia" w:ascii="宋体" w:hAnsi="宋体" w:cs="宋体"/>
          <w:color w:val="auto"/>
          <w:szCs w:val="21"/>
          <w:highlight w:val="none"/>
          <w:u w:val="single"/>
        </w:rPr>
        <w:t xml:space="preserve">“仪征市政府采购网”、“扬州市政府采购网”、“</w:t>
      </w:r>
      <w:r>
        <w:rPr>
          <w:rFonts w:hint="eastAsia" w:ascii="宋体" w:hAnsi="宋体" w:cs="宋体"/>
          <w:color w:val="auto"/>
          <w:szCs w:val="21"/>
          <w:highlight w:val="none"/>
          <w:u w:val="single"/>
          <w:lang w:eastAsia="zh-CN"/>
        </w:rPr>
        <w:t xml:space="preserve">江苏政府采购网</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中国政府采购网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自行免费下载</w:t>
      </w:r>
      <w:r>
        <w:rPr>
          <w:rFonts w:hint="eastAsia" w:ascii="宋体" w:hAnsi="宋体" w:cs="宋体"/>
          <w:color w:val="auto"/>
          <w:highlight w:val="none"/>
        </w:rPr>
        <w:t xml:space="preserve">招标文件</w:t>
      </w:r>
      <w:r>
        <w:rPr>
          <w:rFonts w:hint="eastAsia" w:ascii="宋体" w:hAnsi="宋体" w:cs="宋体"/>
          <w:color w:val="auto"/>
          <w:szCs w:val="21"/>
          <w:highlight w:val="none"/>
        </w:rPr>
        <w:t xml:space="preserve">，并于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1月20日</w:t>
      </w:r>
      <w:r>
        <w:rPr>
          <w:rFonts w:hint="eastAsia" w:ascii="宋体" w:hAnsi="宋体" w:cs="宋体"/>
          <w:color w:val="auto"/>
          <w:szCs w:val="21"/>
          <w:highlight w:val="none"/>
          <w:u w:val="single"/>
        </w:rPr>
        <w:t xml:space="preserve"> 09点</w:t>
      </w:r>
      <w:r>
        <w:rPr>
          <w:rFonts w:hint="eastAsia" w:ascii="宋体" w:hAnsi="宋体" w:cs="宋体"/>
          <w:color w:val="auto"/>
          <w:szCs w:val="21"/>
          <w:highlight w:val="none"/>
          <w:u w:val="single"/>
          <w:lang w:val="en-US" w:eastAsia="zh-CN"/>
        </w:rPr>
        <w:t xml:space="preserve">00</w:t>
      </w:r>
      <w:r>
        <w:rPr>
          <w:rFonts w:hint="eastAsia" w:ascii="宋体" w:hAnsi="宋体" w:cs="宋体"/>
          <w:color w:val="auto"/>
          <w:szCs w:val="21"/>
          <w:highlight w:val="none"/>
          <w:u w:val="single"/>
        </w:rPr>
        <w:t xml:space="preserve">分</w:t>
      </w:r>
      <w:r>
        <w:rPr>
          <w:rFonts w:hint="eastAsia" w:ascii="宋体" w:hAnsi="宋体" w:cs="宋体"/>
          <w:bCs/>
          <w:color w:val="auto"/>
          <w:szCs w:val="21"/>
          <w:highlight w:val="none"/>
        </w:rPr>
        <w:t xml:space="preserve">（北京时间）前递交</w:t>
      </w:r>
      <w:r>
        <w:rPr>
          <w:rFonts w:hint="eastAsia" w:ascii="宋体" w:hAnsi="宋体" w:cs="宋体"/>
          <w:bCs/>
          <w:color w:val="auto"/>
          <w:highlight w:val="none"/>
        </w:rPr>
        <w:t xml:space="preserve">投标文件</w:t>
      </w:r>
      <w:r>
        <w:rPr>
          <w:rFonts w:hint="eastAsia" w:ascii="宋体" w:hAnsi="宋体" w:cs="宋体"/>
          <w:color w:val="auto"/>
          <w:szCs w:val="21"/>
          <w:highlight w:val="none"/>
        </w:rPr>
        <w:t xml:space="preserve">。</w:t>
      </w:r>
      <w:bookmarkEnd w:id="4"/>
      <w:r/>
      <w:bookmarkEnd w:id="5"/>
      <w:r/>
      <w:bookmarkEnd w:id="6"/>
      <w:r/>
      <w:bookmarkEnd w:id="7"/>
      <w:r/>
      <w:r/>
    </w:p>
    <w:p>
      <w:pPr>
        <w:pStyle w:val="919"/>
        <w:spacing w:before="0" w:after="0"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1.项目编号：</w:t>
      </w:r>
      <w:r>
        <w:rPr>
          <w:rFonts w:hint="eastAsia" w:ascii="宋体" w:hAnsi="宋体"/>
          <w:color w:val="auto"/>
          <w:highlight w:val="none"/>
          <w:lang w:eastAsia="zh-CN"/>
        </w:rPr>
        <w:t xml:space="preserve">JSZC-321081-BYGC-G2025-0019</w:t>
      </w:r>
      <w:r/>
    </w:p>
    <w:p>
      <w:pPr>
        <w:ind w:firstLine="420"/>
        <w:pageBreakBefore w:val="0"/>
        <w:spacing w:line="360" w:lineRule="auto"/>
        <w:widowControl w:val="off"/>
        <w:rPr>
          <w:rFonts w:hint="default" w:ascii="宋体" w:hAnsi="宋体" w:eastAsia="宋体"/>
          <w:color w:val="auto"/>
          <w:highlight w:val="none"/>
          <w:u w:val="single"/>
          <w:lang w:eastAsia="zh-CN"/>
        </w:rPr>
      </w:pPr>
      <w:r>
        <w:rPr>
          <w:rFonts w:hint="eastAsia" w:ascii="宋体" w:hAnsi="宋体"/>
          <w:color w:val="auto"/>
          <w:highlight w:val="none"/>
        </w:rPr>
        <w:t xml:space="preserve">2.项目名称：</w:t>
      </w:r>
      <w:r>
        <w:rPr>
          <w:rFonts w:hint="default" w:ascii="宋体" w:hAnsi="宋体"/>
          <w:color w:val="auto"/>
          <w:szCs w:val="21"/>
          <w:highlight w:val="none"/>
          <w:lang w:eastAsia="zh-CN"/>
        </w:rPr>
        <w:t xml:space="preserve">仪征市应急管理局安全生产考试点特种作业考试设备更新升级项目</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3.采购方式：公开招标</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4.预算金额：</w:t>
      </w:r>
      <w:r>
        <w:rPr>
          <w:rFonts w:hint="eastAsia" w:ascii="宋体" w:hAnsi="宋体"/>
          <w:color w:val="auto"/>
          <w:highlight w:val="none"/>
          <w:lang w:val="en-US" w:eastAsia="zh-CN"/>
        </w:rPr>
        <w:t xml:space="preserve">130</w:t>
      </w:r>
      <w:r>
        <w:rPr>
          <w:rFonts w:hint="eastAsia" w:ascii="宋体" w:hAnsi="宋体"/>
          <w:color w:val="auto"/>
          <w:highlight w:val="none"/>
        </w:rPr>
        <w:t xml:space="preserve">万元</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5.最高限价：</w:t>
      </w:r>
      <w:r>
        <w:rPr>
          <w:rFonts w:hint="eastAsia" w:ascii="宋体" w:hAnsi="宋体"/>
          <w:color w:val="auto"/>
          <w:highlight w:val="none"/>
          <w:lang w:val="en-US" w:eastAsia="zh-CN"/>
        </w:rPr>
        <w:t xml:space="preserve">130</w:t>
      </w:r>
      <w:r>
        <w:rPr>
          <w:rFonts w:hint="eastAsia" w:ascii="宋体" w:hAnsi="宋体"/>
          <w:color w:val="auto"/>
          <w:highlight w:val="none"/>
        </w:rPr>
        <w:t xml:space="preserve">万元</w:t>
      </w:r>
      <w:r>
        <w:rPr>
          <w:rFonts w:hint="eastAsia" w:ascii="宋体" w:hAnsi="宋体"/>
          <w:color w:val="auto"/>
          <w:highlight w:val="none"/>
          <w:lang w:eastAsia="zh-CN"/>
        </w:rPr>
        <w:t xml:space="preserve">，</w:t>
      </w:r>
      <w:r>
        <w:rPr>
          <w:rFonts w:hint="eastAsia" w:ascii="宋体" w:hAnsi="宋体"/>
          <w:color w:val="auto"/>
          <w:highlight w:val="none"/>
        </w:rPr>
        <w:t xml:space="preserve">报价超过最高限价的为无效报价，按照无效响应处理</w:t>
      </w:r>
      <w:r>
        <w:rPr>
          <w:rFonts w:hint="eastAsia" w:ascii="宋体" w:hAnsi="宋体"/>
          <w:color w:val="auto"/>
          <w:highlight w:val="none"/>
          <w:lang w:val="zh-CN"/>
        </w:rPr>
        <w:t xml:space="preserve">。</w:t>
      </w:r>
      <w:r/>
    </w:p>
    <w:p>
      <w:pPr>
        <w:ind w:firstLine="420"/>
        <w:keepLines w:val="0"/>
        <w:keepNext w:val="0"/>
        <w:pageBreakBefore w:val="0"/>
        <w:spacing w:before="157" w:line="360" w:lineRule="auto"/>
        <w:widowControl w:val="off"/>
        <w:rPr>
          <w:rFonts w:ascii="宋体" w:hAnsi="宋体"/>
          <w:color w:val="auto"/>
          <w:highlight w:val="none"/>
        </w:rPr>
      </w:pPr>
      <w:r>
        <w:rPr>
          <w:rFonts w:hint="eastAsia" w:ascii="宋体" w:hAnsi="宋体"/>
          <w:color w:val="auto"/>
          <w:highlight w:val="none"/>
        </w:rPr>
        <w:t xml:space="preserve">6.采购需求：见招标文件第四章</w:t>
      </w:r>
      <w:r/>
    </w:p>
    <w:p>
      <w:pPr>
        <w:ind w:firstLine="420"/>
        <w:pageBreakBefore w:val="0"/>
        <w:spacing w:line="360" w:lineRule="auto"/>
        <w:widowControl w:val="off"/>
        <w:rPr>
          <w:rFonts w:hint="default" w:ascii="宋体" w:hAnsi="宋体" w:eastAsia="宋体"/>
          <w:color w:val="auto"/>
          <w:highlight w:val="none"/>
          <w:lang w:val="en-US" w:eastAsia="zh-CN"/>
        </w:rPr>
      </w:pPr>
      <w:r>
        <w:rPr>
          <w:rFonts w:hint="eastAsia" w:ascii="宋体" w:hAnsi="宋体"/>
          <w:color w:val="auto"/>
          <w:highlight w:val="none"/>
        </w:rPr>
        <w:t xml:space="preserve">7.合同履行期限：</w:t>
      </w:r>
      <w:r>
        <w:rPr>
          <w:rFonts w:hint="eastAsia" w:ascii="宋体" w:hAnsi="宋体"/>
          <w:color w:val="auto"/>
          <w:highlight w:val="none"/>
          <w:lang w:val="en-US" w:eastAsia="zh-CN"/>
        </w:rPr>
        <w:t xml:space="preserve">合同签订之日起</w:t>
      </w:r>
      <w:r>
        <w:rPr>
          <w:rFonts w:hint="eastAsia" w:ascii="宋体" w:hAnsi="宋体" w:cs="宋体"/>
          <w:szCs w:val="21"/>
          <w:highlight w:val="none"/>
          <w:lang w:val="en-US" w:eastAsia="zh-CN"/>
        </w:rPr>
        <w:t xml:space="preserve">60天</w:t>
      </w:r>
      <w:r>
        <w:rPr>
          <w:rFonts w:hint="eastAsia" w:ascii="宋体" w:hAnsi="宋体" w:cs="宋体"/>
          <w:szCs w:val="21"/>
          <w:highlight w:val="none"/>
        </w:rPr>
        <w:t xml:space="preserve">内安装调试完成</w:t>
      </w:r>
      <w:r/>
    </w:p>
    <w:p>
      <w:pPr>
        <w:ind w:firstLine="42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8.本项目</w:t>
      </w:r>
      <w:r>
        <w:rPr>
          <w:rFonts w:hint="eastAsia" w:ascii="宋体" w:hAnsi="宋体"/>
          <w:color w:val="auto"/>
          <w:highlight w:val="none"/>
          <w:u w:val="single"/>
        </w:rPr>
        <w:t xml:space="preserve">不接受</w:t>
      </w:r>
      <w:r>
        <w:rPr>
          <w:rFonts w:hint="eastAsia" w:ascii="宋体" w:hAnsi="宋体"/>
          <w:color w:val="auto"/>
          <w:highlight w:val="none"/>
        </w:rPr>
        <w:t xml:space="preserve">联合体投标</w:t>
      </w:r>
      <w:r/>
    </w:p>
    <w:p>
      <w:pPr>
        <w:ind w:firstLine="42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9.本项目</w:t>
      </w:r>
      <w:r>
        <w:rPr>
          <w:rFonts w:hint="eastAsia" w:ascii="宋体" w:hAnsi="宋体"/>
          <w:color w:val="auto"/>
          <w:highlight w:val="none"/>
          <w:u w:val="single"/>
        </w:rPr>
        <w:t xml:space="preserve">不接受</w:t>
      </w:r>
      <w:r>
        <w:rPr>
          <w:rFonts w:hint="eastAsia" w:ascii="宋体" w:hAnsi="宋体"/>
          <w:color w:val="auto"/>
          <w:highlight w:val="none"/>
        </w:rPr>
        <w:t xml:space="preserve">进口产品投标</w:t>
      </w:r>
      <w:r/>
    </w:p>
    <w:p>
      <w:pPr>
        <w:pStyle w:val="919"/>
        <w:keepLines/>
        <w:keepNext/>
        <w:pageBreakBefore w:val="0"/>
        <w:spacing w:before="20" w:after="20" w:line="360" w:lineRule="auto"/>
        <w:widowControl w:val="off"/>
        <w:rPr>
          <w:rFonts w:ascii="宋体" w:hAnsi="宋体" w:eastAsia="宋体" w:cs="宋体"/>
          <w:color w:val="auto"/>
          <w:sz w:val="21"/>
          <w:szCs w:val="21"/>
          <w:highlight w:val="none"/>
        </w:rPr>
      </w:pPr>
      <w:r/>
      <w:bookmarkStart w:id="9" w:name="_Toc35393799"/>
      <w:r/>
      <w:bookmarkStart w:id="10" w:name="_Toc28359013"/>
      <w:r/>
      <w:bookmarkStart w:id="11" w:name="_Toc35393630"/>
      <w:r/>
      <w:bookmarkStart w:id="12" w:name="_Toc28359090"/>
      <w:r>
        <w:rPr>
          <w:rFonts w:hint="eastAsia" w:ascii="宋体" w:hAnsi="宋体" w:eastAsia="宋体" w:cs="宋体"/>
          <w:color w:val="auto"/>
          <w:sz w:val="21"/>
          <w:szCs w:val="21"/>
          <w:highlight w:val="none"/>
        </w:rPr>
        <w:t xml:space="preserve">二、申请人的资格要求：</w:t>
      </w:r>
      <w:bookmarkEnd w:id="9"/>
      <w:r/>
      <w:bookmarkEnd w:id="10"/>
      <w:r/>
      <w:bookmarkEnd w:id="11"/>
      <w:r/>
      <w:bookmarkEnd w:id="12"/>
      <w:r/>
      <w:r/>
    </w:p>
    <w:p>
      <w:pPr>
        <w:ind w:firstLine="420"/>
        <w:pageBreakBefore w:val="0"/>
        <w:spacing w:line="360" w:lineRule="auto"/>
        <w:widowControl w:val="off"/>
        <w:rPr>
          <w:rFonts w:hint="eastAsia" w:ascii="宋体" w:hAnsi="宋体" w:cs="宋体"/>
          <w:color w:val="auto"/>
          <w:szCs w:val="21"/>
          <w:highlight w:val="none"/>
        </w:rPr>
      </w:pPr>
      <w:r/>
      <w:bookmarkStart w:id="13" w:name="_Toc28359014"/>
      <w:r/>
      <w:bookmarkStart w:id="14" w:name="_Toc35393631"/>
      <w:r/>
      <w:bookmarkStart w:id="15" w:name="_Toc35393800"/>
      <w:r/>
      <w:bookmarkStart w:id="16" w:name="_Toc28359091"/>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w:t>
      </w:r>
      <w:r>
        <w:rPr>
          <w:rFonts w:hint="eastAsia" w:ascii="宋体" w:hAnsi="宋体" w:cs="宋体"/>
          <w:b/>
          <w:bCs/>
          <w:i/>
          <w:iCs/>
          <w:color w:val="auto"/>
          <w:szCs w:val="21"/>
          <w:highlight w:val="none"/>
          <w:u w:val="single"/>
          <w:lang w:val="en-US" w:eastAsia="zh-CN"/>
        </w:rPr>
        <w:t xml:space="preserve">三个月</w:t>
      </w:r>
      <w:r>
        <w:rPr>
          <w:rFonts w:hint="eastAsia" w:ascii="宋体" w:hAnsi="宋体" w:cs="宋体"/>
          <w:b/>
          <w:bCs/>
          <w:i/>
          <w:iCs/>
          <w:color w:val="auto"/>
          <w:szCs w:val="21"/>
          <w:highlight w:val="none"/>
          <w:u w:val="single"/>
        </w:rPr>
        <w:t xml:space="preserve">内任意一个月依法缴纳税收及缴纳社会保障资金的证明材料。投标人依法享受缓缴、免缴税收、社会保障资金的提供证明材料。）</w:t>
      </w:r>
      <w:r/>
    </w:p>
    <w:p>
      <w:pPr>
        <w:ind w:firstLine="42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3</w:t>
      </w:r>
      <w:r>
        <w:rPr>
          <w:rFonts w:hint="eastAsia" w:ascii="宋体" w:hAnsi="宋体" w:cs="宋体"/>
          <w:i/>
          <w:iCs/>
          <w:color w:val="auto"/>
          <w:szCs w:val="21"/>
          <w:highlight w:val="none"/>
          <w:u w:val="single"/>
        </w:rPr>
        <w:t xml:space="preserve"> 上一年度的财务报告情况</w:t>
      </w:r>
      <w:r>
        <w:rPr>
          <w:rFonts w:hint="eastAsia" w:ascii="宋体" w:hAnsi="宋体" w:cs="宋体"/>
          <w:b/>
          <w:bCs/>
          <w:i/>
          <w:iCs/>
          <w:color w:val="auto"/>
          <w:szCs w:val="21"/>
          <w:highlight w:val="none"/>
          <w:u w:val="single"/>
        </w:rPr>
        <w:t xml:space="preserve">（成立不满一年不需提供）</w:t>
      </w:r>
      <w:r/>
    </w:p>
    <w:p>
      <w:pPr>
        <w:ind w:firstLine="42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4</w:t>
      </w:r>
      <w:r>
        <w:rPr>
          <w:rFonts w:hint="eastAsia" w:ascii="宋体" w:hAnsi="宋体" w:cs="宋体"/>
          <w:i/>
          <w:iCs/>
          <w:color w:val="auto"/>
          <w:szCs w:val="21"/>
          <w:highlight w:val="none"/>
          <w:u w:val="single"/>
        </w:rPr>
        <w:t xml:space="preserve"> 具备履行合同所必需的设备和专业技术能力的</w:t>
      </w:r>
      <w:r>
        <w:rPr>
          <w:rFonts w:hint="eastAsia" w:ascii="宋体" w:hAnsi="宋体" w:cs="宋体"/>
          <w:i/>
          <w:iCs/>
          <w:color w:val="auto"/>
          <w:szCs w:val="21"/>
          <w:highlight w:val="none"/>
          <w:u w:val="single"/>
          <w:lang w:val="en-US" w:eastAsia="zh-CN"/>
        </w:rPr>
        <w:t xml:space="preserve">书面声明</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 参加本次政府采购活动前3年内在经营活动中没有重大违法记录的书面声明</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1.6</w:t>
      </w:r>
      <w:r>
        <w:rPr>
          <w:rFonts w:hint="eastAsia" w:ascii="宋体" w:hAnsi="宋体" w:eastAsia="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iCs/>
          <w:color w:val="auto"/>
          <w:szCs w:val="21"/>
          <w:highlight w:val="none"/>
          <w:u w:val="single"/>
        </w:rPr>
        <w:t xml:space="preserve">（</w:t>
      </w:r>
      <w:r>
        <w:rPr>
          <w:rFonts w:hint="eastAsia" w:ascii="宋体" w:hAnsi="宋体" w:cs="宋体"/>
          <w:b/>
          <w:bCs/>
          <w:i/>
          <w:iCs/>
          <w:color w:val="auto"/>
          <w:szCs w:val="21"/>
          <w:highlight w:val="none"/>
          <w:u w:val="single"/>
          <w:lang w:val="en-US" w:eastAsia="zh-CN"/>
        </w:rPr>
        <w:t xml:space="preserve">提供网页截图</w:t>
      </w:r>
      <w:r>
        <w:rPr>
          <w:rFonts w:hint="eastAsia" w:ascii="宋体" w:hAnsi="宋体" w:cs="宋体"/>
          <w:i/>
          <w:iCs/>
          <w:color w:val="auto"/>
          <w:szCs w:val="21"/>
          <w:highlight w:val="none"/>
          <w:u w:val="single"/>
        </w:rPr>
        <w:t xml:space="preserve">）</w:t>
      </w:r>
      <w:r/>
    </w:p>
    <w:p>
      <w:pPr>
        <w:ind w:firstLine="42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1.7</w:t>
      </w:r>
      <w:r>
        <w:rPr>
          <w:rFonts w:hint="eastAsia" w:ascii="宋体" w:hAnsi="宋体" w:eastAsia="宋体" w:cs="宋体"/>
          <w:i/>
          <w:iCs/>
          <w:color w:val="auto"/>
          <w:szCs w:val="21"/>
          <w:highlight w:val="none"/>
          <w:u w:val="single"/>
        </w:rPr>
        <w:t xml:space="preserve">供应商信用承诺函</w:t>
      </w:r>
      <w:r/>
    </w:p>
    <w:p>
      <w:pPr>
        <w:ind w:firstLine="420"/>
        <w:jc w:val="left"/>
        <w:keepLines w:val="0"/>
        <w:keepNext w:val="0"/>
        <w:pageBreakBefore w:val="0"/>
        <w:spacing w:line="360" w:lineRule="auto"/>
        <w:widowControl/>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cs="宋体"/>
          <w:b/>
          <w:bCs/>
          <w:i/>
          <w:iCs/>
          <w:color w:val="auto"/>
          <w:szCs w:val="21"/>
          <w:highlight w:val="none"/>
          <w:u w:val="single"/>
        </w:rPr>
        <w:t xml:space="preserve">根据《政府采购促进中小企业发展管理办法》的规定，本项目专门面向中小企业采购，</w:t>
      </w:r>
      <w:r>
        <w:rPr>
          <w:rFonts w:hint="eastAsia" w:ascii="宋体" w:hAnsi="宋体" w:cs="宋体"/>
          <w:b/>
          <w:bCs/>
          <w:i/>
          <w:iCs/>
          <w:color w:val="auto"/>
          <w:szCs w:val="21"/>
          <w:highlight w:val="none"/>
          <w:u w:val="single"/>
          <w:lang w:val="en-US" w:eastAsia="zh-CN"/>
        </w:rPr>
        <w:t xml:space="preserve">供应商</w:t>
      </w:r>
      <w:r>
        <w:rPr>
          <w:rFonts w:hint="eastAsia" w:ascii="宋体" w:hAnsi="宋体" w:cs="宋体"/>
          <w:b/>
          <w:bCs/>
          <w:i/>
          <w:iCs/>
          <w:color w:val="auto"/>
          <w:szCs w:val="21"/>
          <w:highlight w:val="none"/>
          <w:u w:val="single"/>
        </w:rPr>
        <w:t xml:space="preserve">须提供《中小企业声明函》，《中小企业声明函》不符合要求或未提供的，</w:t>
      </w:r>
      <w:r>
        <w:rPr>
          <w:rFonts w:hint="eastAsia" w:ascii="宋体" w:hAnsi="宋体" w:cs="宋体"/>
          <w:b/>
          <w:bCs/>
          <w:i/>
          <w:iCs/>
          <w:color w:val="auto"/>
          <w:szCs w:val="21"/>
          <w:highlight w:val="none"/>
          <w:u w:val="single"/>
          <w:lang w:val="en-US" w:eastAsia="zh-CN"/>
        </w:rPr>
        <w:t xml:space="preserve">响应</w:t>
      </w:r>
      <w:r>
        <w:rPr>
          <w:rFonts w:hint="eastAsia" w:ascii="宋体" w:hAnsi="宋体" w:cs="宋体"/>
          <w:b/>
          <w:bCs/>
          <w:i/>
          <w:iCs/>
          <w:color w:val="auto"/>
          <w:szCs w:val="21"/>
          <w:highlight w:val="none"/>
          <w:u w:val="single"/>
        </w:rPr>
        <w:t xml:space="preserve">文件无效。</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i/>
          <w:iCs/>
          <w:color w:val="auto"/>
          <w:szCs w:val="21"/>
          <w:highlight w:val="none"/>
          <w:u w:val="single"/>
          <w:lang w:val="en-US" w:eastAsia="zh-CN"/>
        </w:rPr>
        <w:t xml:space="preserve">无</w:t>
      </w:r>
      <w:bookmarkEnd w:id="8"/>
      <w:r/>
      <w:bookmarkEnd w:id="13"/>
      <w:r/>
      <w:bookmarkEnd w:id="14"/>
      <w:r/>
      <w:bookmarkEnd w:id="15"/>
      <w:r/>
      <w:bookmarkEnd w:id="16"/>
      <w:r/>
      <w:r/>
    </w:p>
    <w:p>
      <w:pPr>
        <w:ind w:firstLine="420"/>
        <w:pageBreakBefore w:val="0"/>
        <w:spacing w:line="360" w:lineRule="auto"/>
        <w:widowControl w:val="off"/>
        <w:rPr>
          <w:rFonts w:hint="eastAsia" w:ascii="宋体" w:hAnsi="宋体" w:cs="宋体"/>
          <w:b/>
          <w:bCs w:val="0"/>
          <w:color w:val="auto"/>
          <w:sz w:val="21"/>
          <w:szCs w:val="21"/>
          <w:highlight w:val="none"/>
        </w:rPr>
      </w:pPr>
      <w:r/>
      <w:bookmarkStart w:id="17" w:name="_Toc458694821"/>
      <w:r/>
      <w:bookmarkStart w:id="18" w:name="_Toc513029204"/>
      <w:r/>
      <w:bookmarkStart w:id="19" w:name="_Toc16938520"/>
      <w:r/>
      <w:bookmarkStart w:id="20" w:name="_Toc20823276"/>
      <w:r>
        <w:rPr>
          <w:rFonts w:hint="eastAsia" w:ascii="宋体" w:hAnsi="宋体" w:cs="宋体"/>
          <w:b/>
          <w:bCs w:val="0"/>
          <w:color w:val="auto"/>
          <w:sz w:val="21"/>
          <w:szCs w:val="21"/>
          <w:highlight w:val="none"/>
        </w:rPr>
        <w:t xml:space="preserve">三、获取招标文件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rPr>
      </w:pPr>
      <w:r/>
      <w:bookmarkStart w:id="21" w:name="_Toc14561"/>
      <w:r/>
      <w:bookmarkStart w:id="22" w:name="_Toc17733"/>
      <w:r>
        <w:rPr>
          <w:rFonts w:hint="eastAsia" w:ascii="宋体" w:hAnsi="宋体" w:cs="宋体"/>
          <w:b w:val="0"/>
          <w:bCs w:val="0"/>
          <w:color w:val="auto"/>
          <w:highlight w:val="none"/>
        </w:rPr>
        <w:t xml:space="preserve">1.时间：自招标文件公告发布之日起5个工作日</w:t>
      </w:r>
      <w:r>
        <w:rPr>
          <w:rFonts w:hint="eastAsia" w:ascii="宋体" w:hAnsi="宋体" w:cs="宋体"/>
          <w:highlight w:val="none"/>
        </w:rPr>
        <w:t xml:space="preserve">。</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2.地点：</w:t>
      </w:r>
      <w:r>
        <w:rPr>
          <w:rFonts w:hint="eastAsia" w:ascii="宋体" w:hAnsi="宋体" w:cs="宋体"/>
          <w:b w:val="0"/>
          <w:bCs w:val="0"/>
          <w:color w:val="auto"/>
          <w:highlight w:val="none"/>
          <w:u w:val="single"/>
        </w:rPr>
        <w:t xml:space="preserve">“仪征市政府采购网”、“扬州市政府采购网”、“</w:t>
      </w:r>
      <w:r>
        <w:rPr>
          <w:rFonts w:hint="eastAsia" w:ascii="宋体" w:hAnsi="宋体" w:cs="宋体"/>
          <w:b w:val="0"/>
          <w:bCs w:val="0"/>
          <w:color w:val="auto"/>
          <w:highlight w:val="none"/>
          <w:u w:val="single"/>
          <w:lang w:eastAsia="zh-CN"/>
        </w:rPr>
        <w:t xml:space="preserve">江苏政府采购网</w:t>
      </w:r>
      <w:r>
        <w:rPr>
          <w:rFonts w:hint="eastAsia" w:ascii="宋体" w:hAnsi="宋体" w:cs="宋体"/>
          <w:b w:val="0"/>
          <w:bCs w:val="0"/>
          <w:color w:val="auto"/>
          <w:highlight w:val="none"/>
          <w:u w:val="single"/>
        </w:rPr>
        <w:t xml:space="preserve">”</w:t>
      </w:r>
      <w:r>
        <w:rPr>
          <w:rFonts w:hint="eastAsia" w:ascii="宋体" w:hAnsi="宋体" w:cs="宋体"/>
          <w:b w:val="0"/>
          <w:bCs w:val="0"/>
          <w:color w:val="auto"/>
          <w:highlight w:val="none"/>
          <w:u w:val="single"/>
          <w:lang w:eastAsia="zh-CN"/>
        </w:rPr>
        <w:t xml:space="preserve">、</w:t>
      </w:r>
      <w:r>
        <w:rPr>
          <w:rFonts w:hint="eastAsia" w:ascii="宋体" w:hAnsi="宋体" w:cs="宋体"/>
          <w:b w:val="0"/>
          <w:bCs w:val="0"/>
          <w:color w:val="auto"/>
          <w:highlight w:val="none"/>
          <w:u w:val="single"/>
        </w:rPr>
        <w:t xml:space="preserve">“中国政府采购网”自行免费下载招标文件。</w:t>
      </w:r>
      <w:r/>
    </w:p>
    <w:p>
      <w:pPr>
        <w:ind w:firstLine="420"/>
        <w:keepLines w:val="0"/>
        <w:keepNext w:val="0"/>
        <w:pageBreakBefore w:val="0"/>
        <w:spacing w:line="360" w:lineRule="auto"/>
        <w:widowControl w:val="off"/>
        <w:rPr>
          <w:rFonts w:hint="eastAsia" w:ascii="宋体" w:hAnsi="宋体" w:cs="宋体"/>
          <w:b w:val="0"/>
          <w:bCs w:val="0"/>
          <w:color w:val="auto"/>
          <w:highlight w:val="none"/>
          <w:u w:val="single"/>
        </w:rPr>
      </w:pPr>
      <w:r>
        <w:rPr>
          <w:rFonts w:hint="eastAsia" w:ascii="宋体" w:hAnsi="宋体" w:cs="宋体"/>
          <w:b w:val="0"/>
          <w:bCs w:val="0"/>
          <w:color w:val="auto"/>
          <w:highlight w:val="none"/>
        </w:rPr>
        <w:t xml:space="preserve">3.获取方式：</w:t>
      </w:r>
      <w:r>
        <w:rPr>
          <w:rFonts w:hint="eastAsia" w:ascii="宋体" w:hAnsi="宋体" w:cs="宋体"/>
          <w:b w:val="0"/>
          <w:bCs w:val="0"/>
          <w:color w:val="auto"/>
          <w:highlight w:val="none"/>
          <w:u w:val="single"/>
        </w:rPr>
        <w:t xml:space="preserve">本项目采用网上注册登记方式。</w:t>
      </w:r>
      <w:bookmarkEnd w:id="21"/>
      <w:r/>
      <w:bookmarkEnd w:id="22"/>
      <w:r/>
      <w:r/>
    </w:p>
    <w:p>
      <w:pPr>
        <w:ind w:firstLine="422"/>
        <w:pageBreakBefore w:val="0"/>
        <w:spacing w:line="360" w:lineRule="auto"/>
        <w:widowControl w:val="off"/>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pageBreakBefore w:val="0"/>
        <w:spacing w:line="360" w:lineRule="auto"/>
        <w:widowControl w:val="off"/>
        <w:rPr>
          <w:rFonts w:ascii="宋体" w:hAnsi="宋体"/>
          <w:bCs/>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bCs/>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1月20日</w:t>
      </w:r>
      <w:r>
        <w:rPr>
          <w:rFonts w:hint="eastAsia" w:ascii="宋体" w:hAnsi="宋体"/>
          <w:bCs/>
          <w:color w:val="auto"/>
          <w:szCs w:val="21"/>
          <w:highlight w:val="none"/>
          <w:u w:val="single"/>
        </w:rPr>
        <w:t xml:space="preserve"> 09点 00分</w:t>
      </w:r>
      <w:r>
        <w:rPr>
          <w:rFonts w:hint="eastAsia" w:ascii="宋体" w:hAnsi="宋体" w:cs="宋体"/>
          <w:bCs/>
          <w:color w:val="auto"/>
          <w:szCs w:val="21"/>
          <w:highlight w:val="none"/>
        </w:rPr>
        <w:t xml:space="preserve">（北京时间）</w:t>
      </w:r>
      <w:r/>
    </w:p>
    <w:p>
      <w:pPr>
        <w:ind w:firstLine="420"/>
        <w:pageBreakBefore w:val="0"/>
        <w:spacing w:line="360" w:lineRule="auto"/>
        <w:widowControl w:val="off"/>
        <w:rPr>
          <w:rFonts w:hint="eastAsia" w:ascii="宋体" w:hAnsi="宋体" w:cs="宋体"/>
          <w:bCs/>
          <w:color w:val="auto"/>
          <w:szCs w:val="21"/>
          <w:highlight w:val="none"/>
          <w:u w:val="single"/>
        </w:rPr>
      </w:pPr>
      <w:r>
        <w:rPr>
          <w:rFonts w:hint="eastAsia" w:ascii="宋体" w:hAnsi="宋体"/>
          <w:color w:val="auto"/>
          <w:szCs w:val="21"/>
          <w:highlight w:val="none"/>
        </w:rPr>
        <w:t xml:space="preserve">2.开标地点：</w:t>
      </w:r>
      <w:r>
        <w:rPr>
          <w:rFonts w:hint="eastAsia" w:ascii="宋体" w:hAnsi="宋体"/>
          <w:b/>
          <w:color w:val="auto"/>
          <w:szCs w:val="21"/>
          <w:highlight w:val="none"/>
        </w:rPr>
        <w:t xml:space="preserve">“苏采云”系统（网址：http</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//jszfcg.jsczt.cn/）“开标大厅”</w:t>
      </w:r>
      <w:r/>
    </w:p>
    <w:p>
      <w:pPr>
        <w:ind w:firstLine="422"/>
        <w:pageBreakBefore w:val="0"/>
        <w:spacing w:line="360" w:lineRule="auto"/>
        <w:widowControl w:val="off"/>
        <w:tabs>
          <w:tab w:val="left" w:pos="266" w:leader="none"/>
        </w:tabs>
        <w:rPr>
          <w:rFonts w:ascii="宋体" w:hAnsi="宋体" w:cs="宋体"/>
          <w:b/>
          <w:bCs/>
          <w:color w:val="auto"/>
          <w:highlight w:val="none"/>
        </w:rPr>
      </w:pPr>
      <w:r/>
      <w:bookmarkStart w:id="23" w:name="_Toc35393794"/>
      <w:r/>
      <w:bookmarkStart w:id="24" w:name="_Toc28359084"/>
      <w:r/>
      <w:bookmarkStart w:id="25" w:name="_Toc38985267"/>
      <w:r/>
      <w:bookmarkStart w:id="26" w:name="_Toc35393625"/>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widowControl w:val="off"/>
        <w:rPr>
          <w:rFonts w:hint="eastAsia" w:ascii="宋体" w:hAnsi="宋体"/>
          <w:color w:val="auto"/>
          <w:szCs w:val="21"/>
          <w:highlight w:val="none"/>
        </w:rPr>
      </w:pPr>
      <w:r>
        <w:rPr>
          <w:rFonts w:hint="eastAsia" w:ascii="宋体" w:hAnsi="宋体" w:cs="宋体"/>
          <w:color w:val="auto"/>
          <w:szCs w:val="21"/>
          <w:highlight w:val="none"/>
        </w:rPr>
        <w:t xml:space="preserve">自本公告发布之日起5个工作日。</w:t>
      </w:r>
      <w:r/>
    </w:p>
    <w:p>
      <w:pPr>
        <w:ind w:firstLine="422"/>
        <w:keepLines w:val="0"/>
        <w:keepNext w:val="0"/>
        <w:pageBreakBefore w:val="0"/>
        <w:spacing w:line="360" w:lineRule="auto"/>
        <w:widowControl w:val="off"/>
        <w:tabs>
          <w:tab w:val="left" w:pos="266" w:leader="none"/>
        </w:tabs>
        <w:rPr>
          <w:rFonts w:ascii="宋体" w:hAnsi="宋体" w:cs="宋体"/>
          <w:b/>
          <w:bCs/>
          <w:color w:val="auto"/>
          <w:highlight w:val="none"/>
        </w:rPr>
      </w:pPr>
      <w:r/>
      <w:bookmarkStart w:id="28" w:name="_Toc24018"/>
      <w:r/>
      <w:bookmarkStart w:id="29" w:name="_Toc2469"/>
      <w:r>
        <w:rPr>
          <w:rFonts w:hint="eastAsia" w:ascii="宋体" w:hAnsi="宋体" w:cs="宋体"/>
          <w:b/>
          <w:bCs/>
          <w:color w:val="auto"/>
          <w:highlight w:val="none"/>
        </w:rPr>
        <w:t xml:space="preserve">六、其他补充事宜</w:t>
      </w:r>
      <w:r/>
    </w:p>
    <w:p>
      <w:pPr>
        <w:ind w:firstLine="422"/>
        <w:jc w:val="left"/>
        <w:keepLines w:val="0"/>
        <w:keepNext w:val="0"/>
        <w:pageBreakBefore w:val="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3.潜在供应商对采购文件项目需求部分的询问、质疑请向采购人提出，由采购人负责答复。</w:t>
      </w:r>
      <w:r/>
    </w:p>
    <w:p>
      <w:pPr>
        <w:ind w:firstLine="422"/>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4.本次采购不收取投标保证金。</w:t>
      </w:r>
      <w:r/>
    </w:p>
    <w:p>
      <w:pPr>
        <w:ind w:firstLine="422"/>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5.</w:t>
      </w:r>
      <w:r>
        <w:rPr>
          <w:rFonts w:hint="eastAsia"/>
          <w:color w:val="auto"/>
          <w:sz w:val="19"/>
          <w:szCs w:val="19"/>
          <w:highlight w:val="none"/>
          <w:shd w:val="clear" w:color="auto" w:fill="ffffff"/>
        </w:rPr>
        <w:t xml:space="preserve"> </w:t>
      </w:r>
      <w:r>
        <w:rPr>
          <w:rFonts w:hint="eastAsia" w:ascii="宋体" w:hAnsi="宋体" w:cs="宋体"/>
          <w:b/>
          <w:bCs/>
          <w:color w:val="auto"/>
          <w:szCs w:val="21"/>
          <w:highlight w:val="none"/>
        </w:rPr>
        <w:t xml:space="preserve">有关本次采购的事项若存在变动或修改，敬请及时关注“仪征市政府采购网（zfcg.yizheng.cn）”、“扬州市政府采购网（zfcg.yangzhou.gov.cn）”、“</w:t>
      </w:r>
      <w:r>
        <w:rPr>
          <w:rFonts w:hint="eastAsia" w:ascii="宋体" w:hAnsi="宋体" w:cs="宋体"/>
          <w:b/>
          <w:bCs/>
          <w:color w:val="auto"/>
          <w:szCs w:val="21"/>
          <w:highlight w:val="none"/>
          <w:lang w:eastAsia="zh-CN"/>
        </w:rPr>
        <w:t xml:space="preserve">江苏政府采购网</w:t>
      </w:r>
      <w:r>
        <w:rPr>
          <w:rFonts w:hint="eastAsia" w:ascii="宋体" w:hAnsi="宋体" w:cs="宋体"/>
          <w:b/>
          <w:bCs/>
          <w:color w:val="auto"/>
          <w:szCs w:val="21"/>
          <w:highlight w:val="none"/>
        </w:rPr>
        <w:t xml:space="preserve">（ccgp-jiangsu.gov.cn）”、“中国政府采购网（ccgp.gov.cn）”发布的信息。</w:t>
      </w:r>
      <w:r/>
    </w:p>
    <w:p>
      <w:pPr>
        <w:ind w:firstLine="422"/>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6.</w:t>
      </w:r>
      <w:r>
        <w:rPr>
          <w:rFonts w:hint="eastAsia" w:ascii="宋体" w:hAnsi="宋体" w:cs="宋体"/>
          <w:b/>
          <w:bCs/>
          <w:i/>
          <w:color w:val="auto"/>
          <w:szCs w:val="21"/>
          <w:highlight w:val="none"/>
          <w:u w:val="single"/>
        </w:rPr>
        <w:t xml:space="preserve">本项目采购文件中所有斜体下划线部分为实质性条款，如不满足，则为无效投标。</w:t>
      </w:r>
      <w:r/>
    </w:p>
    <w:p>
      <w:pPr>
        <w:ind w:firstLine="422"/>
        <w:jc w:val="left"/>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7.如在开标时间发生系统崩溃等不可预见的情况，造成开评标活动无法正常进行的，将延迟开评标，具体开评标时间另行通知。</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8.潜在供应商访问政府采购管理交易系统（苏采云）的网络地址和方法：</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//zfcg.yangzhou.gov.cn/zfcg/xzzx/202309/4d7de1f7865f4a2894fc22bc452f94d8.shtml。</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//jszfcg.jsczt.cn/。</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9.落实好政府采购履约资金扶持政策其他相关政策</w:t>
      </w:r>
      <w:r/>
    </w:p>
    <w:p>
      <w:pPr>
        <w:ind w:firstLine="422"/>
        <w:jc w:val="left"/>
        <w:keepLines w:val="0"/>
        <w:keepNext w:val="0"/>
        <w:pageBreakBefore w:val="0"/>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（1）中标/成交供应商可凭政府采购合同办理融资贷款，详见江苏政府采购网“政采贷”专栏。</w:t>
      </w:r>
      <w:r/>
    </w:p>
    <w:p>
      <w:pPr>
        <w:ind w:firstLine="422"/>
        <w:keepLines w:val="0"/>
        <w:keepNext w:val="0"/>
        <w:pageBreakBefore w:val="0"/>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28"/>
      <w:r/>
      <w:bookmarkEnd w:id="29"/>
      <w:r/>
      <w:r/>
    </w:p>
    <w:p>
      <w:pPr>
        <w:ind w:firstLine="422"/>
        <w:keepLines w:val="0"/>
        <w:keepNext w:val="0"/>
        <w:pageBreakBefore w:val="0"/>
        <w:spacing w:line="360" w:lineRule="auto"/>
        <w:tabs>
          <w:tab w:val="left" w:pos="266" w:leader="none"/>
        </w:tabs>
        <w:rPr>
          <w:rFonts w:ascii="宋体" w:hAnsi="宋体" w:cs="宋体"/>
          <w:b/>
          <w:bCs/>
          <w:color w:val="auto"/>
          <w:sz w:val="21"/>
          <w:szCs w:val="21"/>
          <w:highlight w:val="none"/>
        </w:rPr>
      </w:pPr>
      <w:r/>
      <w:bookmarkStart w:id="30" w:name="_Toc28359008"/>
      <w:r/>
      <w:bookmarkStart w:id="31" w:name="_Toc35393627"/>
      <w:r/>
      <w:bookmarkStart w:id="32" w:name="_Toc38985269"/>
      <w:r/>
      <w:bookmarkStart w:id="33" w:name="_Toc28359085"/>
      <w:r/>
      <w:bookmarkStart w:id="34" w:name="_Toc35393796"/>
      <w:r>
        <w:rPr>
          <w:rFonts w:hint="eastAsia" w:ascii="宋体" w:hAnsi="宋体" w:cs="宋体"/>
          <w:b/>
          <w:bCs/>
          <w:color w:val="auto"/>
          <w:sz w:val="21"/>
          <w:szCs w:val="21"/>
          <w:highlight w:val="none"/>
        </w:rPr>
        <w:t xml:space="preserve">七、本次招标联系方式</w:t>
      </w:r>
      <w:bookmarkEnd w:id="30"/>
      <w:r/>
      <w:bookmarkEnd w:id="31"/>
      <w:r/>
      <w:bookmarkEnd w:id="32"/>
      <w:r/>
      <w:bookmarkEnd w:id="33"/>
      <w:r/>
      <w:bookmarkEnd w:id="34"/>
      <w:r/>
      <w:r/>
    </w:p>
    <w:p>
      <w:pPr>
        <w:pStyle w:val="931"/>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名    称：</w:t>
      </w:r>
      <w:r>
        <w:rPr>
          <w:rFonts w:hint="eastAsia" w:ascii="宋体" w:hAnsi="宋体"/>
          <w:color w:val="auto"/>
          <w:sz w:val="21"/>
          <w:szCs w:val="21"/>
          <w:highlight w:val="none"/>
          <w:u w:val="single"/>
          <w:lang w:eastAsia="zh-CN"/>
        </w:rPr>
        <w:t xml:space="preserve">仪征市</w:t>
      </w:r>
      <w:r>
        <w:rPr>
          <w:rFonts w:hint="eastAsia" w:ascii="宋体" w:hAnsi="宋体"/>
          <w:color w:val="auto"/>
          <w:sz w:val="21"/>
          <w:szCs w:val="21"/>
          <w:highlight w:val="none"/>
          <w:u w:val="single"/>
          <w:lang w:val="en-US" w:eastAsia="zh-CN"/>
        </w:rPr>
        <w:t xml:space="preserve">应急管理局 </w:t>
      </w:r>
      <w:r/>
    </w:p>
    <w:p>
      <w:pPr>
        <w:pStyle w:val="931"/>
        <w:ind w:firstLine="420"/>
        <w:spacing w:line="360" w:lineRule="auto"/>
        <w:rPr>
          <w:rFonts w:hint="default" w:hAnsi="宋体" w:eastAsia="宋体" w:cs="宋体"/>
          <w:bCs/>
          <w:color w:val="auto"/>
          <w:sz w:val="21"/>
          <w:szCs w:val="21"/>
          <w:highlight w:val="none"/>
          <w:u w:val="single"/>
          <w:lang w:val="en-US" w:eastAsia="zh-CN"/>
        </w:rPr>
      </w:pPr>
      <w:r>
        <w:rPr>
          <w:rFonts w:hint="eastAsia" w:hAnsi="宋体" w:cs="宋体"/>
          <w:bCs/>
          <w:color w:val="auto"/>
          <w:sz w:val="21"/>
          <w:szCs w:val="21"/>
          <w:highlight w:val="none"/>
        </w:rPr>
        <w:t xml:space="preserve">地</w:t>
      </w:r>
      <w:r>
        <w:rPr>
          <w:rFonts w:hint="eastAsia" w:hAnsi="宋体" w:cs="宋体"/>
          <w:bCs/>
          <w:color w:val="auto"/>
          <w:sz w:val="21"/>
          <w:szCs w:val="21"/>
          <w:highlight w:val="none"/>
          <w:lang w:val="en-US" w:eastAsia="zh-CN"/>
        </w:rPr>
        <w:t xml:space="preserve">   </w:t>
      </w:r>
      <w:r>
        <w:rPr>
          <w:rFonts w:hint="eastAsia" w:hAnsi="宋体" w:cs="宋体"/>
          <w:bCs/>
          <w:color w:val="auto"/>
          <w:sz w:val="21"/>
          <w:szCs w:val="21"/>
          <w:highlight w:val="none"/>
        </w:rPr>
        <w:t xml:space="preserve"> 址：</w:t>
      </w:r>
      <w:r>
        <w:rPr>
          <w:rFonts w:hint="eastAsia" w:hAnsi="宋体" w:cs="宋体"/>
          <w:bCs/>
          <w:color w:val="auto"/>
          <w:sz w:val="21"/>
          <w:szCs w:val="21"/>
          <w:highlight w:val="none"/>
          <w:u w:val="single"/>
        </w:rPr>
        <w:t xml:space="preserve">仪征市解放西路128号</w:t>
      </w:r>
      <w:r>
        <w:rPr>
          <w:rFonts w:hint="eastAsia" w:ascii="宋体" w:hAnsi="宋体"/>
          <w:color w:val="auto"/>
          <w:sz w:val="21"/>
          <w:szCs w:val="21"/>
          <w:highlight w:val="none"/>
          <w:u w:val="single"/>
          <w:lang w:val="en-US" w:eastAsia="zh-CN"/>
        </w:rPr>
        <w:t xml:space="preserve"> </w:t>
      </w:r>
      <w:r/>
    </w:p>
    <w:p>
      <w:pPr>
        <w:pStyle w:val="931"/>
        <w:ind w:firstLine="420"/>
        <w:spacing w:line="360" w:lineRule="auto"/>
        <w:rPr>
          <w:rFonts w:hint="default" w:hAnsi="宋体" w:eastAsia="宋体" w:cs="宋体"/>
          <w:bCs/>
          <w:color w:val="auto"/>
          <w:sz w:val="21"/>
          <w:szCs w:val="21"/>
          <w:highlight w:val="none"/>
          <w:lang w:val="en-US" w:eastAsia="zh-CN"/>
        </w:rPr>
      </w:pPr>
      <w:r>
        <w:rPr>
          <w:rFonts w:hint="eastAsia" w:hAnsi="宋体" w:cs="宋体"/>
          <w:bCs/>
          <w:color w:val="auto"/>
          <w:sz w:val="21"/>
          <w:szCs w:val="21"/>
          <w:highlight w:val="none"/>
        </w:rPr>
        <w:t xml:space="preserve">联</w:t>
      </w:r>
      <w:r>
        <w:rPr>
          <w:rFonts w:hint="eastAsia" w:hAnsi="宋体" w:cs="宋体"/>
          <w:bCs/>
          <w:color w:val="auto"/>
          <w:sz w:val="21"/>
          <w:szCs w:val="21"/>
          <w:highlight w:val="none"/>
          <w:lang w:val="en-US" w:eastAsia="zh-CN"/>
        </w:rPr>
        <w:t xml:space="preserve"> </w:t>
      </w:r>
      <w:r>
        <w:rPr>
          <w:rFonts w:hint="eastAsia" w:hAnsi="宋体" w:cs="宋体"/>
          <w:bCs/>
          <w:color w:val="auto"/>
          <w:sz w:val="21"/>
          <w:szCs w:val="21"/>
          <w:highlight w:val="none"/>
        </w:rPr>
        <w:t xml:space="preserve">系</w:t>
      </w:r>
      <w:r>
        <w:rPr>
          <w:rFonts w:hint="eastAsia" w:hAnsi="宋体" w:cs="宋体"/>
          <w:bCs/>
          <w:color w:val="auto"/>
          <w:sz w:val="21"/>
          <w:szCs w:val="21"/>
          <w:highlight w:val="none"/>
          <w:lang w:val="en-US" w:eastAsia="zh-CN"/>
        </w:rPr>
        <w:t xml:space="preserve"> </w:t>
      </w:r>
      <w:r>
        <w:rPr>
          <w:rFonts w:hint="eastAsia" w:hAnsi="宋体" w:cs="宋体"/>
          <w:bCs/>
          <w:color w:val="auto"/>
          <w:sz w:val="21"/>
          <w:szCs w:val="21"/>
          <w:highlight w:val="none"/>
        </w:rPr>
        <w:t xml:space="preserve">人：</w:t>
      </w:r>
      <w:r>
        <w:rPr>
          <w:rFonts w:hint="eastAsia" w:hAnsi="宋体" w:cs="宋体"/>
          <w:bCs/>
          <w:color w:val="auto"/>
          <w:sz w:val="21"/>
          <w:szCs w:val="21"/>
          <w:highlight w:val="none"/>
          <w:u w:val="single"/>
          <w:lang w:val="en-US" w:eastAsia="zh-CN"/>
        </w:rPr>
        <w:t xml:space="preserve"> 佘顺健  </w:t>
      </w:r>
      <w:r/>
    </w:p>
    <w:p>
      <w:pPr>
        <w:pStyle w:val="931"/>
        <w:ind w:firstLine="420"/>
        <w:keepLines w:val="0"/>
        <w:keepNext w:val="0"/>
        <w:pageBreakBefore w:val="0"/>
        <w:spacing w:line="360" w:lineRule="auto"/>
        <w:widowControl w:val="off"/>
        <w:rPr>
          <w:rFonts w:hint="default" w:hAnsi="宋体" w:cs="宋体"/>
          <w:bCs/>
          <w:color w:val="auto"/>
          <w:sz w:val="21"/>
          <w:szCs w:val="21"/>
          <w:highlight w:val="none"/>
          <w:lang w:val="en-US"/>
        </w:rPr>
      </w:pPr>
      <w:r>
        <w:rPr>
          <w:rFonts w:hint="eastAsia" w:hAnsi="宋体" w:cs="宋体"/>
          <w:bCs/>
          <w:color w:val="auto"/>
          <w:sz w:val="21"/>
          <w:szCs w:val="21"/>
          <w:highlight w:val="none"/>
        </w:rPr>
        <w:t xml:space="preserve">联系方式：</w:t>
      </w:r>
      <w:r>
        <w:rPr>
          <w:rFonts w:hint="eastAsia" w:ascii="宋体" w:hAnsi="宋体" w:cs="宋体"/>
          <w:color w:val="000000"/>
          <w:sz w:val="21"/>
          <w:szCs w:val="21"/>
          <w:highlight w:val="none"/>
          <w:u w:val="single"/>
          <w:shd w:val="clear" w:color="auto" w:fill="ffffff"/>
          <w:lang w:val="en-US" w:eastAsia="zh-CN"/>
        </w:rPr>
        <w:t xml:space="preserve"> 13852538313 </w:t>
      </w:r>
      <w:r/>
    </w:p>
    <w:p>
      <w:pPr>
        <w:pStyle w:val="931"/>
        <w:ind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Cs/>
          <w:color w:val="auto"/>
          <w:sz w:val="21"/>
          <w:szCs w:val="21"/>
          <w:highlight w:val="none"/>
        </w:rPr>
        <w:t xml:space="preserve">2.代理机构信息</w:t>
      </w:r>
      <w:r/>
    </w:p>
    <w:p>
      <w:pPr>
        <w:pStyle w:val="931"/>
        <w:ind w:firstLine="420"/>
        <w:keepLines w:val="0"/>
        <w:keepNext w:val="0"/>
        <w:pageBreakBefore w:val="0"/>
        <w:spacing w:line="360" w:lineRule="auto"/>
        <w:widowControl w:val="off"/>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名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称：</w:t>
      </w:r>
      <w:r>
        <w:rPr>
          <w:rFonts w:hint="eastAsia" w:hAnsi="宋体" w:cs="宋体"/>
          <w:color w:val="auto"/>
          <w:sz w:val="21"/>
          <w:szCs w:val="21"/>
          <w:highlight w:val="none"/>
          <w:u w:val="single"/>
          <w:lang w:eastAsia="zh-CN"/>
        </w:rPr>
        <w:t xml:space="preserve">扬州博远工程咨询有限公司</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bookmarkStart w:id="35" w:name="_Toc28359087"/>
      <w:r/>
      <w:bookmarkStart w:id="36" w:name="_Toc28359010"/>
      <w:r>
        <w:rPr>
          <w:rFonts w:hint="eastAsia" w:ascii="宋体" w:hAnsi="宋体" w:eastAsia="宋体" w:cs="宋体"/>
          <w:color w:val="auto"/>
          <w:sz w:val="21"/>
          <w:szCs w:val="21"/>
          <w:highlight w:val="none"/>
        </w:rPr>
        <w:t xml:space="preserve">联</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赵文静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仪征市万年北路163号（万年商城内东南角二楼）</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u w:val="single"/>
          <w:lang w:val="en-US" w:eastAsia="zh-CN"/>
        </w:rPr>
        <w:t xml:space="preserve">18936260560</w:t>
      </w:r>
      <w:bookmarkStart w:id="37" w:name="_Toc35393808"/>
      <w:r/>
      <w:bookmarkStart w:id="38" w:name="_Toc28359021"/>
      <w:r/>
      <w:bookmarkStart w:id="39" w:name="_Toc35393639"/>
      <w:r/>
      <w:bookmarkStart w:id="40" w:name="_Toc28359098"/>
      <w:r/>
      <w:bookmarkEnd w:id="35"/>
      <w:r/>
      <w:bookmarkEnd w:id="36"/>
      <w:r/>
      <w:bookmarkEnd w:id="37"/>
      <w:r/>
      <w:bookmarkEnd w:id="38"/>
      <w:r/>
      <w:bookmarkEnd w:id="39"/>
      <w:r/>
      <w:bookmarkEnd w:id="40"/>
      <w:r/>
      <w:r/>
    </w:p>
    <w:p>
      <w:pPr>
        <w:pStyle w:val="921"/>
        <w:ind w:firstLine="422"/>
        <w:spacing w:before="0" w:after="0" w:line="46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r>
      <w:r/>
    </w:p>
    <w:p>
      <w:pPr>
        <w:pStyle w:val="921"/>
        <w:ind w:firstLine="422"/>
        <w:spacing w:before="0" w:after="0" w:line="46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r>
      <w:r/>
    </w:p>
    <w:p>
      <w:pPr>
        <w:pStyle w:val="921"/>
        <w:ind w:firstLine="422"/>
        <w:spacing w:before="0" w:after="0" w:line="46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r>
      <w:r/>
    </w:p>
    <w:p>
      <w:pPr>
        <w:pStyle w:val="921"/>
        <w:ind w:firstLine="422"/>
        <w:spacing w:before="0" w:after="0" w:line="46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r>
      <w:r/>
    </w:p>
    <w:p>
      <w:pPr>
        <w:pStyle w:val="921"/>
        <w:ind w:firstLine="422"/>
        <w:spacing w:before="0" w:after="0" w:line="46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r>
      <w:r/>
    </w:p>
    <w:p>
      <w:pPr>
        <w:pStyle w:val="921"/>
        <w:ind w:firstLine="422"/>
        <w:spacing w:before="0" w:after="0" w:line="46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r>
      <w:r/>
    </w:p>
    <w:p>
      <w:pPr>
        <w:pStyle w:val="921"/>
        <w:jc w:val="both"/>
        <w:keepLines w:val="0"/>
        <w:keepNext w:val="0"/>
        <w:pageBreakBefore w:val="0"/>
        <w:spacing w:before="0" w:after="0" w:line="360" w:lineRule="auto"/>
        <w:widowControl w:val="off"/>
        <w:rPr>
          <w:rFonts w:hint="eastAsia" w:ascii="宋体" w:hAnsi="宋体" w:eastAsia="宋体"/>
          <w:bCs w:val="0"/>
          <w:color w:val="auto"/>
          <w:sz w:val="36"/>
          <w:szCs w:val="36"/>
          <w:highlight w:val="none"/>
          <w:lang w:val="en-US" w:eastAsia="zh-CN"/>
        </w:rPr>
      </w:pPr>
      <w:r>
        <w:rPr>
          <w:rFonts w:hint="eastAsia" w:ascii="宋体" w:hAnsi="宋体" w:eastAsia="宋体"/>
          <w:bCs w:val="0"/>
          <w:color w:val="auto"/>
          <w:sz w:val="36"/>
          <w:szCs w:val="36"/>
          <w:highlight w:val="none"/>
          <w:lang w:val="en-US" w:eastAsia="zh-CN"/>
        </w:rPr>
      </w:r>
      <w:r/>
    </w:p>
    <w:p>
      <w:pPr>
        <w:rPr>
          <w:rFonts w:hint="eastAsia" w:ascii="宋体" w:hAnsi="宋体" w:eastAsia="宋体"/>
          <w:bCs w:val="0"/>
          <w:color w:val="auto"/>
          <w:sz w:val="36"/>
          <w:szCs w:val="36"/>
          <w:highlight w:val="none"/>
          <w:lang w:val="en-US" w:eastAsia="zh-CN"/>
        </w:rPr>
      </w:pPr>
      <w:r>
        <w:rPr>
          <w:rFonts w:hint="eastAsia" w:ascii="宋体" w:hAnsi="宋体" w:eastAsia="宋体"/>
          <w:bCs w:val="0"/>
          <w:color w:val="auto"/>
          <w:sz w:val="36"/>
          <w:szCs w:val="36"/>
          <w:highlight w:val="none"/>
          <w:lang w:val="en-US" w:eastAsia="zh-CN"/>
        </w:rPr>
        <w:br w:type="page" w:clear="all"/>
      </w:r>
      <w:r/>
    </w:p>
    <w:p>
      <w:pPr>
        <w:pStyle w:val="921"/>
        <w:ind w:firstLine="723"/>
        <w:jc w:val="center"/>
        <w:keepLines w:val="0"/>
        <w:keepNext w:val="0"/>
        <w:pageBreakBefore w:val="0"/>
        <w:spacing w:before="0" w:after="0" w:line="360" w:lineRule="auto"/>
        <w:widowControl w:val="off"/>
        <w:rPr>
          <w:rFonts w:hint="default" w:ascii="宋体" w:hAnsi="宋体" w:eastAsia="宋体"/>
          <w:bCs w:val="0"/>
          <w:color w:val="auto"/>
          <w:sz w:val="36"/>
          <w:szCs w:val="36"/>
          <w:highlight w:val="none"/>
          <w:lang w:val="en-US" w:eastAsia="zh-CN"/>
        </w:rPr>
      </w:pPr>
      <w:r>
        <w:rPr>
          <w:rFonts w:hint="eastAsia" w:ascii="宋体" w:hAnsi="宋体" w:eastAsia="宋体"/>
          <w:bCs w:val="0"/>
          <w:color w:val="auto"/>
          <w:sz w:val="36"/>
          <w:szCs w:val="36"/>
          <w:highlight w:val="none"/>
          <w:lang w:val="en-US" w:eastAsia="zh-CN"/>
        </w:rPr>
        <w:t xml:space="preserve">第二章 投标人须知</w:t>
      </w:r>
      <w:r/>
    </w:p>
    <w:p>
      <w:pPr>
        <w:pStyle w:val="921"/>
        <w:ind w:firstLine="422"/>
        <w:spacing w:before="0" w:after="0" w:line="460" w:lineRule="exact"/>
        <w:rPr>
          <w:rFonts w:ascii="宋体" w:hAnsi="宋体" w:eastAsia="宋体"/>
          <w:bCs w:val="0"/>
          <w:color w:val="auto"/>
          <w:sz w:val="21"/>
          <w:szCs w:val="21"/>
          <w:highlight w:val="none"/>
        </w:rPr>
      </w:pPr>
      <w:r>
        <w:rPr>
          <w:rFonts w:ascii="宋体" w:hAnsi="宋体" w:eastAsia="宋体"/>
          <w:bCs w:val="0"/>
          <w:color w:val="auto"/>
          <w:sz w:val="21"/>
          <w:szCs w:val="21"/>
          <w:highlight w:val="none"/>
        </w:rPr>
        <w:t xml:space="preserve">1</w:t>
      </w:r>
      <w:bookmarkEnd w:id="17"/>
      <w:r>
        <w:rPr>
          <w:rFonts w:hint="eastAsia" w:ascii="宋体" w:hAnsi="宋体" w:eastAsia="宋体"/>
          <w:bCs w:val="0"/>
          <w:color w:val="auto"/>
          <w:sz w:val="21"/>
          <w:szCs w:val="21"/>
          <w:highlight w:val="none"/>
        </w:rPr>
        <w:t xml:space="preserve">、招标方式</w:t>
      </w:r>
      <w:bookmarkEnd w:id="18"/>
      <w:r/>
      <w:bookmarkEnd w:id="19"/>
      <w:r/>
      <w:bookmarkEnd w:id="20"/>
      <w:r/>
      <w:r/>
    </w:p>
    <w:p>
      <w:pPr>
        <w:ind w:firstLine="420"/>
        <w:spacing w:line="460" w:lineRule="exact"/>
        <w:rPr>
          <w:rFonts w:ascii="宋体" w:hAnsi="宋体"/>
          <w:color w:val="auto"/>
          <w:szCs w:val="21"/>
          <w:highlight w:val="none"/>
        </w:rPr>
      </w:pPr>
      <w:r>
        <w:rPr>
          <w:rFonts w:hint="eastAsia" w:ascii="宋体" w:hAnsi="宋体"/>
          <w:color w:val="auto"/>
          <w:szCs w:val="21"/>
          <w:highlight w:val="none"/>
        </w:rPr>
        <w:t xml:space="preserve">1.1 本次招标采取公开招标方式，本招标文件仅适用于</w:t>
      </w:r>
      <w:r>
        <w:rPr>
          <w:rFonts w:hint="eastAsia" w:ascii="宋体" w:hAnsi="宋体"/>
          <w:b/>
          <w:color w:val="auto"/>
          <w:sz w:val="18"/>
          <w:szCs w:val="18"/>
          <w:highlight w:val="none"/>
          <w:lang w:eastAsia="zh-CN"/>
        </w:rPr>
        <w:t xml:space="preserve">JSZC-321081-BYGC-G2025-0019</w:t>
      </w:r>
      <w:r>
        <w:rPr>
          <w:rFonts w:hint="eastAsia" w:ascii="宋体" w:hAnsi="宋体"/>
          <w:b/>
          <w:color w:val="auto"/>
          <w:szCs w:val="21"/>
          <w:highlight w:val="none"/>
          <w:lang w:eastAsia="zh-CN"/>
        </w:rPr>
        <w:t xml:space="preserve"> </w:t>
      </w:r>
      <w:r>
        <w:rPr>
          <w:rFonts w:hint="eastAsia" w:ascii="宋体" w:hAnsi="宋体"/>
          <w:color w:val="auto"/>
          <w:szCs w:val="21"/>
          <w:highlight w:val="none"/>
        </w:rPr>
        <w:t xml:space="preserve">项目。</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2、投标人</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2.1 本招标文件中“供应商”，即“投标人”，是指参加投标竞争，并符合招标文件规定资格条件的法人、其他组织或者自然人。</w:t>
      </w:r>
      <w:r/>
    </w:p>
    <w:p>
      <w:pPr>
        <w:pStyle w:val="921"/>
        <w:ind w:firstLine="420"/>
        <w:spacing w:before="0" w:after="0" w:line="360" w:lineRule="auto"/>
        <w:rPr>
          <w:rFonts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2.2合格的投标人</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2.2.1 </w:t>
      </w:r>
      <w:r>
        <w:rPr>
          <w:rFonts w:hint="eastAsia" w:ascii="宋体" w:hAnsi="宋体"/>
          <w:bCs/>
          <w:color w:val="auto"/>
          <w:szCs w:val="21"/>
          <w:highlight w:val="none"/>
        </w:rPr>
        <w:t xml:space="preserve">满足招标公告中供应商的资格条件要求的规定</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2.2.2 满足本文件实质性条款的规定。</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3、适用法律</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b/>
          <w:bCs/>
          <w:color w:val="auto"/>
          <w:szCs w:val="21"/>
          <w:highlight w:val="none"/>
        </w:rPr>
      </w:pPr>
      <w:r>
        <w:rPr>
          <w:rFonts w:hint="eastAsia" w:ascii="宋体" w:hAnsi="宋体"/>
          <w:b/>
          <w:bCs/>
          <w:color w:val="auto"/>
          <w:highlight w:val="none"/>
        </w:rPr>
        <w:t xml:space="preserve">4、投标费用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4.1 投标人应自行承担所有与参加投标有关的费用，无论投标过程中的做法和结果如何，扬州博远工程咨询有限公司(以下简称代理机构)在任何情况下均无义务和责任承担这些费用。</w:t>
      </w:r>
      <w:r/>
    </w:p>
    <w:p>
      <w:pPr>
        <w:ind w:firstLine="420"/>
        <w:spacing w:after="156" w:line="500" w:lineRule="exact"/>
        <w:tabs>
          <w:tab w:val="left" w:pos="900" w:leader="none"/>
        </w:tabs>
        <w:rPr>
          <w:rFonts w:hint="eastAsia"/>
          <w:color w:val="auto"/>
          <w:highlight w:val="none"/>
        </w:rPr>
      </w:pPr>
      <w:r>
        <w:rPr>
          <w:rFonts w:hint="eastAsia" w:ascii="宋体" w:hAnsi="宋体"/>
          <w:color w:val="auto"/>
          <w:highlight w:val="none"/>
        </w:rPr>
        <w:t xml:space="preserve">4.2</w:t>
      </w:r>
      <w:r>
        <w:rPr>
          <w:color w:val="auto"/>
          <w:highlight w:val="none"/>
        </w:rPr>
        <w:t xml:space="preserve">本次采购由中标人在领取中标通知书前按照国家计委印发的《招标代理服务收费管理暂行办法》</w:t>
      </w:r>
      <w:r>
        <w:rPr>
          <w:rFonts w:hint="eastAsia"/>
          <w:color w:val="auto"/>
          <w:highlight w:val="none"/>
          <w:lang w:eastAsia="zh-CN"/>
        </w:rPr>
        <w:t xml:space="preserve">（</w:t>
      </w:r>
      <w:r>
        <w:rPr>
          <w:color w:val="auto"/>
          <w:highlight w:val="none"/>
        </w:rPr>
        <w:t xml:space="preserve">计价格【2002】1980 号文</w:t>
      </w:r>
      <w:r>
        <w:rPr>
          <w:rFonts w:hint="eastAsia"/>
          <w:color w:val="auto"/>
          <w:highlight w:val="none"/>
          <w:lang w:eastAsia="zh-CN"/>
        </w:rPr>
        <w:t xml:space="preserve">）</w:t>
      </w:r>
      <w:r>
        <w:rPr>
          <w:color w:val="auto"/>
          <w:highlight w:val="none"/>
        </w:rPr>
        <w:t xml:space="preserve">货物类（服务类）的标准一次性支付给招标代理机构代理服务费 (不满叁仟元按叁仟元计取）</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（1）代理服务费以人民币支付； </w:t>
      </w:r>
      <w:r/>
    </w:p>
    <w:p>
      <w:pPr>
        <w:ind w:firstLine="420"/>
        <w:spacing w:line="360" w:lineRule="auto"/>
        <w:rPr>
          <w:color w:val="auto"/>
          <w:highlight w:val="none"/>
        </w:rPr>
      </w:pPr>
      <w:r>
        <w:rPr>
          <w:color w:val="auto"/>
          <w:highlight w:val="none"/>
        </w:rPr>
        <w:t xml:space="preserve">（2）代理服务费一次性以电汇、转账等非现金形式支付； </w:t>
      </w:r>
      <w:r/>
    </w:p>
    <w:p>
      <w:pPr>
        <w:ind w:firstLine="420"/>
        <w:spacing w:line="360" w:lineRule="auto"/>
        <w:rPr>
          <w:color w:val="auto"/>
          <w:highlight w:val="none"/>
        </w:rPr>
      </w:pPr>
      <w:r>
        <w:rPr>
          <w:color w:val="auto"/>
          <w:highlight w:val="none"/>
        </w:rPr>
        <w:t xml:space="preserve">（3）招标代理服务费不在</w:t>
      </w:r>
      <w:r>
        <w:rPr>
          <w:rFonts w:hint="eastAsia"/>
          <w:color w:val="auto"/>
          <w:highlight w:val="none"/>
        </w:rPr>
        <w:t xml:space="preserve">投标</w:t>
      </w:r>
      <w:r>
        <w:rPr>
          <w:color w:val="auto"/>
          <w:highlight w:val="none"/>
        </w:rPr>
        <w:t xml:space="preserve">报价中单列，包含在</w:t>
      </w:r>
      <w:r>
        <w:rPr>
          <w:rFonts w:hint="eastAsia"/>
          <w:color w:val="auto"/>
          <w:highlight w:val="none"/>
        </w:rPr>
        <w:t xml:space="preserve">投标</w:t>
      </w:r>
      <w:r>
        <w:rPr>
          <w:color w:val="auto"/>
          <w:highlight w:val="none"/>
        </w:rPr>
        <w:t xml:space="preserve">总价中，由中标单位支付给代理机构。 </w:t>
      </w:r>
      <w:r/>
    </w:p>
    <w:p>
      <w:pPr>
        <w:ind w:firstLine="420"/>
        <w:spacing w:line="360" w:lineRule="auto"/>
        <w:rPr>
          <w:rFonts w:hint="eastAsia"/>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5、招标文件的约束力</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5.1 投标人一旦参加本项目采购活动，即被认为接受了本招标文件的规定和约束。</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6、招标文件构成</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6.1 招标文件有以下部分组成：</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bCs/>
          <w:color w:val="auto"/>
          <w:szCs w:val="21"/>
          <w:highlight w:val="none"/>
        </w:rPr>
        <w:t xml:space="preserve">招标公告</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（2）投标</w:t>
      </w:r>
      <w:r>
        <w:rPr>
          <w:rFonts w:hint="eastAsia" w:ascii="宋体" w:hAnsi="宋体"/>
          <w:color w:val="auto"/>
          <w:highlight w:val="none"/>
          <w:lang w:val="en-US" w:eastAsia="zh-CN"/>
        </w:rPr>
        <w:t xml:space="preserve">人</w:t>
      </w:r>
      <w:r>
        <w:rPr>
          <w:rFonts w:hint="eastAsia" w:ascii="宋体" w:hAnsi="宋体"/>
          <w:color w:val="auto"/>
          <w:highlight w:val="none"/>
        </w:rPr>
        <w:t xml:space="preserve">须知</w:t>
      </w:r>
      <w:r>
        <w:rPr>
          <w:rFonts w:hint="eastAsia" w:ascii="宋体" w:hAnsi="宋体"/>
          <w:color w:val="auto"/>
          <w:highlight w:val="none"/>
        </w:rPr>
        <w:tab/>
      </w:r>
      <w:r/>
    </w:p>
    <w:p>
      <w:pPr>
        <w:ind w:firstLine="315"/>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（3）合同</w:t>
      </w:r>
      <w:r>
        <w:rPr>
          <w:rFonts w:hint="eastAsia" w:ascii="宋体" w:hAnsi="宋体"/>
          <w:color w:val="auto"/>
          <w:highlight w:val="none"/>
          <w:lang w:val="en-US" w:eastAsia="zh-CN"/>
        </w:rPr>
        <w:t xml:space="preserve">文本</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采购</w:t>
      </w:r>
      <w:r>
        <w:rPr>
          <w:rFonts w:hint="eastAsia" w:ascii="宋体" w:hAnsi="宋体"/>
          <w:color w:val="auto"/>
          <w:highlight w:val="none"/>
        </w:rPr>
        <w:t xml:space="preserve">需求</w:t>
      </w:r>
      <w:r/>
    </w:p>
    <w:p>
      <w:pPr>
        <w:ind w:firstLine="315"/>
        <w:spacing w:line="360" w:lineRule="auto"/>
        <w:rPr>
          <w:rFonts w:hint="eastAsia" w:ascii="宋体" w:hAnsi="宋体"/>
          <w:color w:val="auto"/>
          <w:highlight w:val="none"/>
        </w:rPr>
      </w:pPr>
      <w:r>
        <w:rPr>
          <w:rFonts w:hint="eastAsia" w:ascii="宋体" w:hAnsi="宋体"/>
          <w:color w:val="auto"/>
          <w:highlight w:val="none"/>
        </w:rPr>
        <w:t xml:space="preserve">（5）</w:t>
      </w:r>
      <w:r>
        <w:rPr>
          <w:rFonts w:hint="eastAsia" w:ascii="宋体" w:hAnsi="宋体"/>
          <w:color w:val="auto"/>
          <w:highlight w:val="none"/>
          <w:lang w:val="en-US" w:eastAsia="zh-CN"/>
        </w:rPr>
        <w:t xml:space="preserve">评审方法与评标标准</w:t>
      </w:r>
      <w:r/>
    </w:p>
    <w:p>
      <w:pPr>
        <w:ind w:firstLine="315"/>
        <w:spacing w:line="360" w:lineRule="auto"/>
        <w:rPr>
          <w:rFonts w:ascii="宋体" w:hAnsi="宋体"/>
          <w:color w:val="auto"/>
          <w:highlight w:val="none"/>
        </w:rPr>
      </w:pPr>
      <w:r>
        <w:rPr>
          <w:rFonts w:hint="eastAsia" w:ascii="宋体" w:hAnsi="宋体"/>
          <w:color w:val="auto"/>
          <w:highlight w:val="none"/>
        </w:rPr>
        <w:t xml:space="preserve">（6）</w:t>
      </w:r>
      <w:r>
        <w:rPr>
          <w:rFonts w:hint="eastAsia" w:ascii="宋体" w:hAnsi="宋体"/>
          <w:bCs/>
          <w:color w:val="auto"/>
          <w:szCs w:val="21"/>
          <w:highlight w:val="none"/>
        </w:rPr>
        <w:t xml:space="preserve">投标文件格式</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请仔细检查招标文件是否齐全，如有缺漏请立即与代理机构联系解决。</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6.2 招标的最小单位是包。</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服务数量及技术要求中未分包的，</w:t>
      </w:r>
      <w:r>
        <w:rPr>
          <w:rFonts w:hint="eastAsia" w:ascii="宋体" w:hAnsi="宋体"/>
          <w:bCs/>
          <w:color w:val="auto"/>
          <w:szCs w:val="21"/>
          <w:highlight w:val="none"/>
        </w:rPr>
        <w:t xml:space="preserve">供应商</w:t>
      </w:r>
      <w:r>
        <w:rPr>
          <w:rFonts w:hint="eastAsia" w:ascii="宋体" w:hAnsi="宋体"/>
          <w:color w:val="auto"/>
          <w:highlight w:val="none"/>
        </w:rPr>
        <w:t xml:space="preserve">对要求提供的服务不得部分投标；</w:t>
      </w:r>
      <w:r>
        <w:rPr>
          <w:rFonts w:hint="eastAsia" w:ascii="宋体" w:hAnsi="宋体"/>
          <w:bCs/>
          <w:color w:val="auto"/>
          <w:szCs w:val="21"/>
          <w:highlight w:val="none"/>
        </w:rPr>
        <w:t xml:space="preserve">招标</w:t>
      </w:r>
      <w:r>
        <w:rPr>
          <w:rFonts w:hint="eastAsia" w:ascii="宋体" w:hAnsi="宋体"/>
          <w:color w:val="auto"/>
          <w:highlight w:val="none"/>
        </w:rPr>
        <w:t xml:space="preserve">服务数量及技术要求中已经分包的，应当以包为单位投标。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6.3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7</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招标文件的澄清</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7.1 任何要求对招标文件进行澄清的投标人，</w:t>
      </w:r>
      <w:r>
        <w:rPr>
          <w:rFonts w:hint="eastAsia" w:ascii="宋体" w:hAnsi="宋体"/>
          <w:bCs/>
          <w:color w:val="auto"/>
          <w:szCs w:val="21"/>
          <w:highlight w:val="none"/>
        </w:rPr>
        <w:t xml:space="preserve">应在投标截止日期的十日前按招标公告中的通讯地址，以书面形式通知代理机构。</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8</w:t>
      </w:r>
      <w:r>
        <w:rPr>
          <w:rFonts w:hint="eastAsia" w:ascii="宋体" w:hAnsi="宋体" w:eastAsia="宋体"/>
          <w:b w:val="0"/>
          <w:bCs w:val="0"/>
          <w:color w:val="auto"/>
          <w:sz w:val="21"/>
          <w:szCs w:val="21"/>
          <w:highlight w:val="none"/>
        </w:rPr>
        <w:t xml:space="preserve">、</w:t>
      </w:r>
      <w:r>
        <w:rPr>
          <w:rFonts w:hint="eastAsia" w:ascii="宋体" w:hAnsi="宋体" w:eastAsia="宋体"/>
          <w:color w:val="auto"/>
          <w:sz w:val="21"/>
          <w:szCs w:val="21"/>
          <w:highlight w:val="none"/>
        </w:rPr>
        <w:t xml:space="preserve">招标文件的修改</w:t>
      </w:r>
      <w:r/>
    </w:p>
    <w:p>
      <w:pPr>
        <w:ind w:firstLine="420"/>
        <w:spacing w:line="360" w:lineRule="auto"/>
        <w:rPr>
          <w:rFonts w:hint="eastAsia" w:ascii="宋体" w:hAnsi="宋体"/>
          <w:bCs/>
          <w:color w:val="auto"/>
          <w:szCs w:val="21"/>
          <w:highlight w:val="none"/>
        </w:rPr>
      </w:pPr>
      <w:r>
        <w:rPr>
          <w:rFonts w:hint="eastAsia" w:ascii="宋体" w:hAnsi="宋体"/>
          <w:color w:val="auto"/>
          <w:highlight w:val="none"/>
        </w:rPr>
        <w:t xml:space="preserve">8.1 </w:t>
      </w:r>
      <w:r>
        <w:rPr>
          <w:rFonts w:hint="eastAsia" w:ascii="宋体" w:hAnsi="宋体"/>
          <w:bCs/>
          <w:color w:val="auto"/>
          <w:szCs w:val="21"/>
          <w:highlight w:val="none"/>
        </w:rPr>
        <w:t xml:space="preserve">在投标截止时间前，代理机构可以对招标文件进行修改。</w:t>
      </w:r>
      <w:r/>
    </w:p>
    <w:p>
      <w:pPr>
        <w:ind w:firstLine="420"/>
        <w:spacing w:line="360" w:lineRule="auto"/>
        <w:rPr>
          <w:rFonts w:hint="eastAsia"/>
          <w:color w:val="auto"/>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8.3招标文件的修改将在“仪征市政府采购网”、“扬州市政府采购网”、“</w:t>
      </w:r>
      <w:r>
        <w:rPr>
          <w:rFonts w:hint="eastAsia" w:ascii="宋体" w:hAnsi="宋体"/>
          <w:color w:val="auto"/>
          <w:highlight w:val="none"/>
          <w:lang w:eastAsia="zh-CN"/>
        </w:rPr>
        <w:t xml:space="preserve">江苏政府采购网</w:t>
      </w:r>
      <w:r>
        <w:rPr>
          <w:rFonts w:hint="eastAsia" w:ascii="宋体" w:hAnsi="宋体"/>
          <w:color w:val="auto"/>
          <w:highlight w:val="none"/>
        </w:rPr>
        <w:t xml:space="preserve">”</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中国政府采购网</w:t>
      </w:r>
      <w:r>
        <w:rPr>
          <w:rFonts w:hint="eastAsia" w:ascii="宋体" w:hAnsi="宋体"/>
          <w:color w:val="auto"/>
          <w:highlight w:val="none"/>
          <w:lang w:eastAsia="zh-CN"/>
        </w:rPr>
        <w:t xml:space="preserve">”</w:t>
      </w:r>
      <w:r>
        <w:rPr>
          <w:rFonts w:hint="eastAsia" w:ascii="宋体" w:hAnsi="宋体"/>
          <w:color w:val="auto"/>
          <w:highlight w:val="none"/>
        </w:rPr>
        <w:t xml:space="preserve">公布，补充文件将作为招标文件的组成部分，并对投标人具有约束力。</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9、投标文件的语言、度量衡单位</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9.2 除技术性能另有规定外，投标文件所使用的度量衡单位，均须采用国家法定计量单位。</w:t>
      </w:r>
      <w:r/>
    </w:p>
    <w:p>
      <w:pPr>
        <w:pStyle w:val="921"/>
        <w:numPr>
          <w:ilvl w:val="0"/>
          <w:numId w:val="2"/>
        </w:numPr>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投标文件构成</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21"/>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10.2如标书制作工具中格式和内容与“江苏政府采购网”发布的招标文件不一致，请以“江苏政府采购网”发布的招标文件为准。</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11、证明投标人资格及符合招标文件规定的文件</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11.1 投标人应按照法律、法规、规章和规范性文件以及招标文件要求提交证明文件，证明其及投标标的符合招标文件规定。</w:t>
      </w:r>
      <w:r/>
    </w:p>
    <w:p>
      <w:pPr>
        <w:ind w:firstLine="420"/>
        <w:spacing w:line="360" w:lineRule="auto"/>
        <w:rPr>
          <w:rFonts w:hint="eastAsia" w:ascii="宋体" w:hAnsi="宋体"/>
          <w:color w:val="auto"/>
          <w:highlight w:val="none"/>
        </w:rPr>
      </w:pPr>
      <w:r>
        <w:rPr>
          <w:rFonts w:hint="eastAsia" w:ascii="宋体" w:hAnsi="宋体" w:eastAsia="宋体" w:cs="Times New Roman"/>
          <w:color w:val="auto"/>
          <w:highlight w:val="none"/>
        </w:rPr>
        <w:t xml:space="preserve">11.2招标文件对证明文件无明确形式要求的，证明文件可以以文字资料、图纸和数据等形式提交。</w:t>
      </w:r>
      <w:r/>
    </w:p>
    <w:p>
      <w:pPr>
        <w:pStyle w:val="921"/>
        <w:ind w:firstLine="422"/>
        <w:spacing w:before="0" w:after="0"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12、分项报价表</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12.1 投</w:t>
      </w:r>
      <w:bookmarkStart w:id="41" w:name="_Hlt26954840"/>
      <w:r/>
      <w:bookmarkEnd w:id="41"/>
      <w:r>
        <w:rPr>
          <w:rFonts w:hint="eastAsia" w:ascii="宋体" w:hAnsi="宋体" w:eastAsia="宋体" w:cs="Times New Roman"/>
          <w:color w:val="auto"/>
          <w:highlight w:val="none"/>
        </w:rPr>
        <w:t xml:space="preserve">标人应按照招标文件规定格式填报投标分项报价表</w:t>
      </w:r>
      <w:bookmarkStart w:id="42" w:name="_Hlt26670399"/>
      <w:r/>
      <w:bookmarkEnd w:id="42"/>
      <w:r>
        <w:rPr>
          <w:rFonts w:hint="eastAsia" w:ascii="宋体" w:hAnsi="宋体" w:eastAsia="宋体" w:cs="Times New Roman"/>
          <w:color w:val="auto"/>
          <w:highlight w:val="none"/>
        </w:rPr>
        <w:t xml:space="preserve">。</w:t>
      </w:r>
      <w:r/>
    </w:p>
    <w:p>
      <w:pPr>
        <w:ind w:firstLine="42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12.2投标货币。投标文件中的单价和总价无特殊规定的采用人民币报价，以元为单位标注。招标文件中另有规定的按规定执行。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13、技术要求响应及偏离表、商务要求响应及偏离表</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13.1 投标人需对招标文件中的技术要求与商务要求逐项作出响应或偏离，并说明原因。</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13.2 投标人可在投标文件中提供认为需要的其他技术文件或说明。</w:t>
      </w:r>
      <w:r/>
    </w:p>
    <w:p>
      <w:pPr>
        <w:ind w:firstLine="422"/>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14、服务承诺、培训计划、人员安排及其他</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14.2 投标人需根据招标文件要求提供培训计划。</w:t>
      </w:r>
      <w:r/>
    </w:p>
    <w:p>
      <w:pPr>
        <w:ind w:firstLine="420"/>
        <w:spacing w:line="360" w:lineRule="auto"/>
        <w:rPr>
          <w:rFonts w:hint="eastAsia" w:ascii="宋体" w:hAnsi="宋体" w:eastAsia="宋体" w:cs="Times New Roman"/>
          <w:color w:val="auto"/>
          <w:highlight w:val="none"/>
          <w:lang w:val="zh-CN"/>
        </w:rPr>
      </w:pPr>
      <w:r>
        <w:rPr>
          <w:rFonts w:hint="eastAsia" w:ascii="宋体" w:hAnsi="宋体" w:eastAsia="宋体" w:cs="Times New Roman"/>
          <w:color w:val="auto"/>
          <w:highlight w:val="none"/>
          <w:lang w:val="zh-CN"/>
        </w:rPr>
        <w:t xml:space="preserve">14.3 投标人需根据招标文件要求提供所投标的的主要组成部分、功能设计、实现思路及关键技术等。</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w:t>
      </w:r>
      <w:r>
        <w:rPr>
          <w:rFonts w:hint="eastAsia" w:ascii="宋体" w:hAnsi="宋体" w:eastAsia="宋体" w:cs="Times New Roman"/>
          <w:color w:val="auto"/>
          <w:highlight w:val="none"/>
          <w:lang w:val="zh-CN"/>
        </w:rPr>
        <w:t xml:space="preserve">对于采用货币报价的项目，开标一览表中的投标总报价应与投标分项报价表中的投标总报价一致，如不一致，不作为无效投标处理，但评标时按开标一览表中价格为准。</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16、投标有效期</w:t>
      </w:r>
      <w:r/>
    </w:p>
    <w:p>
      <w:pPr>
        <w:ind w:firstLine="420"/>
        <w:spacing w:line="360" w:lineRule="auto"/>
        <w:rPr>
          <w:rFonts w:ascii="宋体" w:hAnsi="宋体"/>
          <w:bCs/>
          <w:color w:val="auto"/>
          <w:szCs w:val="21"/>
          <w:highlight w:val="none"/>
        </w:rPr>
      </w:pPr>
      <w:r/>
      <w:bookmarkStart w:id="43" w:name="_Toc16938541"/>
      <w:r/>
      <w:bookmarkStart w:id="44" w:name="_Toc20823297"/>
      <w:r>
        <w:rPr>
          <w:rFonts w:hint="eastAsia" w:ascii="宋体" w:hAnsi="宋体"/>
          <w:bCs/>
          <w:color w:val="auto"/>
          <w:szCs w:val="21"/>
          <w:highlight w:val="none"/>
        </w:rPr>
        <w:t xml:space="preserve">16.1 投标有效期为招标代理机构规定的开标之日后</w:t>
      </w:r>
      <w:r>
        <w:rPr>
          <w:rFonts w:hint="eastAsia" w:ascii="宋体" w:hAnsi="宋体"/>
          <w:b/>
          <w:bCs w:val="0"/>
          <w:color w:val="auto"/>
          <w:szCs w:val="21"/>
          <w:highlight w:val="none"/>
          <w:u w:val="single"/>
        </w:rPr>
        <w:t xml:space="preserve">六十（60）天</w:t>
      </w:r>
      <w:r>
        <w:rPr>
          <w:rFonts w:hint="eastAsia" w:ascii="宋体" w:hAnsi="宋体"/>
          <w:bCs/>
          <w:color w:val="auto"/>
          <w:szCs w:val="21"/>
          <w:highlight w:val="none"/>
        </w:rPr>
        <w:t xml:space="preserve">。投标有效期比规定短的将被视为未实质性响应招标文件而予以拒绝。</w:t>
      </w:r>
      <w:r/>
    </w:p>
    <w:p>
      <w:pPr>
        <w:pStyle w:val="921"/>
        <w:ind w:firstLine="422"/>
        <w:spacing w:before="0" w:after="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、投标有效期的延长</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rPr>
        <w:t xml:space="preserve">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、投标文件</w:t>
      </w:r>
      <w:bookmarkEnd w:id="43"/>
      <w:r/>
      <w:bookmarkEnd w:id="44"/>
      <w:r>
        <w:rPr>
          <w:rFonts w:hint="eastAsia" w:ascii="宋体" w:hAnsi="宋体" w:eastAsia="宋体"/>
          <w:color w:val="auto"/>
          <w:sz w:val="21"/>
          <w:szCs w:val="21"/>
          <w:highlight w:val="none"/>
        </w:rPr>
        <w:t xml:space="preserve">的递交</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8</w:t>
      </w:r>
      <w:r>
        <w:rPr>
          <w:rFonts w:hint="eastAsia" w:ascii="宋体" w:hAnsi="宋体"/>
          <w:color w:val="auto"/>
          <w:highlight w:val="none"/>
        </w:rPr>
        <w:t xml:space="preserve">.1 </w:t>
      </w:r>
      <w:bookmarkStart w:id="45" w:name="_Toc20823298"/>
      <w:r/>
      <w:bookmarkStart w:id="46" w:name="_Toc16938542"/>
      <w:r>
        <w:rPr>
          <w:rFonts w:hint="eastAsia" w:ascii="宋体" w:hAnsi="宋体"/>
          <w:color w:val="auto"/>
          <w:highlight w:val="none"/>
        </w:rPr>
        <w:t xml:space="preserve">电子投标文件的递交</w:t>
      </w:r>
      <w:r/>
    </w:p>
    <w:p>
      <w:pPr>
        <w:ind w:firstLine="420"/>
        <w:spacing w:line="360" w:lineRule="auto"/>
        <w:rPr>
          <w:color w:val="auto"/>
          <w:highlight w:val="none"/>
        </w:rPr>
      </w:pPr>
      <w:r>
        <w:rPr>
          <w:rFonts w:hint="eastAsia" w:ascii="宋体" w:hAnsi="宋体"/>
          <w:color w:val="auto"/>
          <w:highlight w:val="none"/>
        </w:rPr>
        <w:t xml:space="preserve">投标人应当按照《操作手册》规定，在投标截止时间前制作并上传电子投标文件。</w:t>
      </w:r>
      <w:r/>
    </w:p>
    <w:p>
      <w:pPr>
        <w:pStyle w:val="921"/>
        <w:ind w:firstLine="422"/>
        <w:spacing w:before="0" w:after="0"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lang w:val="en-US" w:eastAsia="zh-CN"/>
        </w:rPr>
        <w:t xml:space="preserve">9</w:t>
      </w:r>
      <w:r>
        <w:rPr>
          <w:rFonts w:hint="eastAsia" w:ascii="宋体" w:hAnsi="宋体" w:eastAsia="宋体" w:cs="Times New Roman"/>
          <w:color w:val="auto"/>
          <w:sz w:val="21"/>
          <w:szCs w:val="21"/>
          <w:highlight w:val="none"/>
        </w:rPr>
        <w:t xml:space="preserve">、投标截止日期</w:t>
      </w:r>
      <w:bookmarkEnd w:id="45"/>
      <w:r/>
      <w:bookmarkEnd w:id="46"/>
      <w:r/>
      <w:r/>
    </w:p>
    <w:p>
      <w:pPr>
        <w:ind w:firstLine="420"/>
        <w:spacing w:line="360" w:lineRule="auto"/>
        <w:rPr>
          <w:rFonts w:hint="eastAsia" w:ascii="宋体" w:hAnsi="宋体" w:eastAsia="宋体" w:cs="Times New Roman"/>
          <w:i/>
          <w:iCs/>
          <w:color w:val="auto"/>
          <w:highlight w:val="none"/>
          <w:u w:val="single"/>
        </w:rPr>
      </w:pPr>
      <w:r>
        <w:rPr>
          <w:rFonts w:hint="eastAsia" w:ascii="宋体" w:hAnsi="宋体" w:eastAsia="宋体" w:cs="Times New Roman"/>
          <w:i/>
          <w:iCs/>
          <w:color w:val="auto"/>
          <w:highlight w:val="none"/>
          <w:u w:val="single"/>
        </w:rPr>
        <w:t xml:space="preserve">1</w:t>
      </w:r>
      <w:r>
        <w:rPr>
          <w:rFonts w:hint="eastAsia" w:ascii="宋体" w:hAnsi="宋体" w:eastAsia="宋体" w:cs="Times New Roman"/>
          <w:i/>
          <w:iCs/>
          <w:color w:val="auto"/>
          <w:highlight w:val="none"/>
          <w:u w:val="single"/>
          <w:lang w:val="en-US" w:eastAsia="zh-CN"/>
        </w:rPr>
        <w:t xml:space="preserve">9</w:t>
      </w:r>
      <w:r>
        <w:rPr>
          <w:rFonts w:hint="eastAsia" w:ascii="宋体" w:hAnsi="宋体" w:eastAsia="宋体" w:cs="Times New Roman"/>
          <w:i/>
          <w:iCs/>
          <w:color w:val="auto"/>
          <w:highlight w:val="none"/>
          <w:u w:val="single"/>
        </w:rPr>
        <w:t xml:space="preserve">.1 投标人上传电子投标文件的时间不得迟于招标公告中规定的投标截止时间。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9</w:t>
      </w:r>
      <w:r>
        <w:rPr>
          <w:rFonts w:hint="eastAsia" w:ascii="宋体" w:hAnsi="宋体"/>
          <w:color w:val="auto"/>
          <w:highlight w:val="none"/>
        </w:rPr>
        <w:t xml:space="preserve">.2 代理机构可以按照规定，通过修改招标文件延长投标截止日期，在此情况下，投标人的所有权利和义务以及投标人受制的截止日期均应以延长后新的截止日期为准。</w:t>
      </w:r>
      <w:r/>
    </w:p>
    <w:p>
      <w:pPr>
        <w:pStyle w:val="921"/>
        <w:ind w:firstLine="422"/>
        <w:spacing w:before="0" w:after="0" w:line="360" w:lineRule="auto"/>
        <w:rPr>
          <w:rFonts w:hint="eastAsia" w:ascii="宋体" w:hAnsi="宋体" w:eastAsia="宋体"/>
          <w:color w:val="auto"/>
          <w:sz w:val="21"/>
          <w:szCs w:val="21"/>
          <w:highlight w:val="none"/>
        </w:rPr>
      </w:pPr>
      <w:r/>
      <w:bookmarkStart w:id="47" w:name="_Toc16938543"/>
      <w:r/>
      <w:bookmarkStart w:id="48" w:name="_Toc20823299"/>
      <w:r>
        <w:rPr>
          <w:rFonts w:hint="eastAsia" w:ascii="宋体" w:hAnsi="宋体" w:eastAsia="宋体"/>
          <w:color w:val="auto"/>
          <w:sz w:val="21"/>
          <w:szCs w:val="21"/>
          <w:highlight w:val="none"/>
          <w:lang w:val="en-US" w:eastAsia="zh-CN"/>
        </w:rPr>
        <w:t xml:space="preserve">20</w:t>
      </w:r>
      <w:r>
        <w:rPr>
          <w:rFonts w:hint="eastAsia" w:ascii="宋体" w:hAnsi="宋体" w:eastAsia="宋体"/>
          <w:color w:val="auto"/>
          <w:sz w:val="21"/>
          <w:szCs w:val="21"/>
          <w:highlight w:val="none"/>
        </w:rPr>
        <w:t xml:space="preserve">、投标文件</w:t>
      </w:r>
      <w:bookmarkEnd w:id="47"/>
      <w:r/>
      <w:bookmarkEnd w:id="48"/>
      <w:r>
        <w:rPr>
          <w:rFonts w:hint="eastAsia" w:ascii="宋体" w:hAnsi="宋体" w:eastAsia="宋体"/>
          <w:color w:val="auto"/>
          <w:sz w:val="21"/>
          <w:szCs w:val="21"/>
          <w:highlight w:val="none"/>
        </w:rPr>
        <w:t xml:space="preserve">的拒收</w:t>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20</w:t>
      </w:r>
      <w:r>
        <w:rPr>
          <w:rFonts w:hint="eastAsia" w:ascii="宋体" w:hAnsi="宋体"/>
          <w:color w:val="auto"/>
          <w:highlight w:val="none"/>
        </w:rPr>
        <w:t xml:space="preserve">.1代理机构拒绝接收在其规定的投标截止时间后上传的任何投标文件。</w:t>
      </w:r>
      <w:r/>
    </w:p>
    <w:p>
      <w:pPr>
        <w:pStyle w:val="921"/>
        <w:ind w:firstLine="422"/>
        <w:spacing w:before="0" w:after="0" w:line="360" w:lineRule="auto"/>
        <w:rPr>
          <w:rFonts w:hint="eastAsia" w:ascii="宋体" w:hAnsi="宋体" w:eastAsia="宋体"/>
          <w:color w:val="auto"/>
          <w:sz w:val="21"/>
          <w:szCs w:val="21"/>
          <w:highlight w:val="none"/>
        </w:rPr>
      </w:pPr>
      <w:r/>
      <w:bookmarkStart w:id="49" w:name="_Toc16938544"/>
      <w:r/>
      <w:bookmarkStart w:id="50" w:name="_Toc20823300"/>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、投标文件的撤回和修改</w:t>
      </w:r>
      <w:bookmarkEnd w:id="49"/>
      <w:r/>
      <w:bookmarkEnd w:id="50"/>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rPr>
          <w:rFonts w:hint="eastAsia" w:ascii="宋体" w:hAnsi="宋体"/>
          <w:color w:val="auto"/>
          <w:highlight w:val="none"/>
        </w:rPr>
        <w:t xml:space="preserve">.1 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rPr>
          <w:rFonts w:hint="eastAsia" w:ascii="宋体" w:hAnsi="宋体"/>
          <w:color w:val="auto"/>
          <w:highlight w:val="none"/>
        </w:rPr>
        <w:t xml:space="preserve">.1.1 电子投标文件的撤回</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投标人可在投标截止时间前，撤回其电子投标文件，具体操作方法见《操作手册》。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rPr>
          <w:rFonts w:hint="eastAsia" w:ascii="宋体" w:hAnsi="宋体"/>
          <w:color w:val="auto"/>
          <w:highlight w:val="none"/>
        </w:rPr>
        <w:t xml:space="preserve">.1.2 投标人撤回电子投标文件，则认为其不再参与本项目投标活动。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rPr>
          <w:rFonts w:hint="eastAsia" w:ascii="宋体" w:hAnsi="宋体"/>
          <w:color w:val="auto"/>
          <w:highlight w:val="none"/>
        </w:rPr>
        <w:t xml:space="preserve">.2 投标文件的修改</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投标人可在投标截止时间前，对其电子投标文件进行修改，具体操作方法见《操作手册》。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rPr>
          <w:rFonts w:hint="eastAsia" w:ascii="宋体" w:hAnsi="宋体"/>
          <w:color w:val="auto"/>
          <w:highlight w:val="none"/>
        </w:rPr>
        <w:t xml:space="preserve">.3 在投标截止时间之后，投标人不得对其电子投标文件作任何修改。</w:t>
      </w:r>
      <w:r/>
    </w:p>
    <w:p>
      <w:pPr>
        <w:ind w:firstLine="420"/>
        <w:spacing w:line="360" w:lineRule="auto"/>
        <w:rPr>
          <w:rFonts w:hint="eastAsia" w:ascii="宋体" w:hAnsi="宋体"/>
          <w:color w:val="auto"/>
          <w:szCs w:val="21"/>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1</w:t>
      </w:r>
      <w:r>
        <w:rPr>
          <w:rFonts w:hint="eastAsia" w:ascii="宋体" w:hAnsi="宋体"/>
          <w:color w:val="auto"/>
          <w:highlight w:val="none"/>
        </w:rPr>
        <w:t xml:space="preserve">.4 在投标截止时间至招标文件中规定的投标有效期满之间的这段时间内，投标人不得撤回其投标。</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21.2开标仪式由</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组织。苏采云系统将自动对项目进行开标，并宣布各投标人名称和投标价格。</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21.3投标人在开标过程中涉及到的投标文件解密、开标结果确认等工作，应按照《操作手册》规定执行。</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21.4投标人如果对开标过程和开标记录有疑义，应当根据《操作手册》规定提出，如苏采云系统中《开标记录表》宣布后5分钟内未提出的，视同认可开标结果。</w:t>
      </w:r>
      <w:r/>
    </w:p>
    <w:p>
      <w:pPr>
        <w:pStyle w:val="921"/>
        <w:ind w:firstLine="422"/>
        <w:spacing w:before="0" w:after="0" w:line="360" w:lineRule="auto"/>
        <w:rPr>
          <w:rFonts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、评标委员会</w:t>
      </w:r>
      <w:r/>
    </w:p>
    <w:p>
      <w:pPr>
        <w:spacing w:line="360" w:lineRule="auto"/>
        <w:rPr>
          <w:rFonts w:ascii="宋体" w:hAnsi="宋体"/>
          <w:bCs/>
          <w:color w:val="auto"/>
          <w:szCs w:val="21"/>
          <w:highlight w:val="none"/>
        </w:rPr>
      </w:pPr>
      <w:r>
        <w:rPr>
          <w:rFonts w:hint="eastAsia" w:ascii="宋体" w:hAnsi="宋体"/>
          <w:b/>
          <w:bCs/>
          <w:color w:val="auto"/>
          <w:highlight w:val="none"/>
        </w:rPr>
        <w:t xml:space="preserve">  </w:t>
      </w:r>
      <w:r>
        <w:rPr>
          <w:rFonts w:hint="eastAsia" w:ascii="宋体" w:hAnsi="宋体"/>
          <w:color w:val="auto"/>
          <w:highlight w:val="none"/>
        </w:rPr>
        <w:t xml:space="preserve">  </w:t>
      </w: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.2 评委会由采购人代表和有关技术、经济等方面的专家组成，且人员构成符合政府采购有关规定。</w:t>
      </w:r>
      <w:r/>
    </w:p>
    <w:p>
      <w:pPr>
        <w:spacing w:line="360" w:lineRule="auto"/>
        <w:rPr>
          <w:rFonts w:hint="eastAsia" w:ascii="宋体" w:hAnsi="宋体"/>
          <w:color w:val="auto"/>
          <w:highlight w:val="none"/>
        </w:rPr>
      </w:pPr>
      <w:r>
        <w:rPr>
          <w:rFonts w:hint="eastAsia" w:ascii="宋体" w:hAnsi="宋体"/>
          <w:bCs/>
          <w:color w:val="auto"/>
          <w:szCs w:val="21"/>
          <w:highlight w:val="none"/>
        </w:rPr>
        <w:t xml:space="preserve">    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.3评委会独立工作，负责评审所有投标文件并确定中标候选人。</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.1凡是与审查、澄清、评价和比较投标的有关资料以及授标建议等，采购人、评委、</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.3 </w:t>
      </w:r>
      <w:r>
        <w:rPr>
          <w:rFonts w:hint="eastAsia" w:ascii="宋体" w:hAnsi="宋体" w:eastAsia="宋体" w:cs="Times New Roman"/>
          <w:bCs/>
          <w:color w:val="auto"/>
          <w:szCs w:val="21"/>
          <w:highlight w:val="none"/>
          <w:lang w:val="en-US" w:eastAsia="zh-CN"/>
        </w:rPr>
        <w:t xml:space="preserve">代理机构</w:t>
      </w:r>
      <w:r>
        <w:rPr>
          <w:rFonts w:hint="eastAsia" w:ascii="宋体" w:hAnsi="宋体" w:eastAsia="宋体" w:cs="Times New Roman"/>
          <w:bCs/>
          <w:color w:val="auto"/>
          <w:szCs w:val="21"/>
          <w:highlight w:val="none"/>
        </w:rPr>
        <w:t xml:space="preserve">和评标委员会不向未中标的投标人解释未中标原因，也不公布评标过程中的相关细节。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.4 采用综合评分法的项目，未中标的投标人可于中标结果公告期限届满之日起通过苏采云系统查看自己的评审得分及排序情况。</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、投标</w:t>
      </w:r>
      <w:r>
        <w:rPr>
          <w:rFonts w:hint="eastAsia" w:ascii="宋体" w:hAnsi="宋体" w:eastAsia="宋体"/>
          <w:color w:val="auto"/>
          <w:sz w:val="21"/>
          <w:szCs w:val="21"/>
          <w:highlight w:val="none"/>
          <w:lang w:val="en-US" w:eastAsia="zh-CN"/>
        </w:rPr>
        <w:t xml:space="preserve">文件</w:t>
      </w:r>
      <w:r>
        <w:rPr>
          <w:rFonts w:hint="eastAsia" w:ascii="宋体" w:hAnsi="宋体" w:eastAsia="宋体"/>
          <w:color w:val="auto"/>
          <w:sz w:val="21"/>
          <w:szCs w:val="21"/>
          <w:highlight w:val="none"/>
        </w:rPr>
        <w:t xml:space="preserve">的澄清</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.1评标期间，评委会对投标文件中含义不明确、同类问题表述不一致或者有明显文字和计算错误的内容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w:t>
      </w:r>
      <w:r>
        <w:rPr>
          <w:rFonts w:hint="eastAsia"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rPr>
        <w:t xml:space="preserve">.3 接到评委会澄清、说明和补正要求的投标人如未按规定做出澄清、说明和补正，其风险由投标人自行承担。</w:t>
      </w:r>
      <w:r/>
    </w:p>
    <w:p>
      <w:pPr>
        <w:pStyle w:val="921"/>
        <w:ind w:firstLine="422"/>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jc w:val="left"/>
        <w:spacing w:line="360" w:lineRule="auto"/>
        <w:rPr>
          <w:rFonts w:ascii="宋体" w:hAnsi="宋体"/>
          <w:color w:val="auto"/>
          <w:highlight w:val="none"/>
        </w:rPr>
      </w:pPr>
      <w:r>
        <w:rPr>
          <w:rFonts w:hint="eastAsia" w:ascii="宋体" w:hAnsi="宋体"/>
          <w:color w:val="auto"/>
          <w:highlight w:val="none"/>
          <w:lang w:val="en-US" w:eastAsia="zh-CN"/>
        </w:rPr>
        <w:t xml:space="preserve">26.6 </w:t>
      </w:r>
      <w:r>
        <w:rPr>
          <w:rFonts w:hint="eastAsia" w:ascii="宋体" w:hAnsi="宋体"/>
          <w:color w:val="auto"/>
          <w:highlight w:val="none"/>
        </w:rPr>
        <w:t xml:space="preserve">投标人在开、评标全过程中应保持通讯畅通，及时登录苏采云系统查阅、答复相关信息，并安排专人与</w:t>
      </w:r>
      <w:r>
        <w:rPr>
          <w:rFonts w:hint="eastAsia" w:ascii="宋体" w:hAnsi="宋体"/>
          <w:color w:val="auto"/>
          <w:highlight w:val="none"/>
          <w:lang w:val="en-US" w:eastAsia="zh-CN"/>
        </w:rPr>
        <w:t xml:space="preserve">代理机构</w:t>
      </w:r>
      <w:r>
        <w:rPr>
          <w:rFonts w:hint="eastAsia" w:ascii="宋体" w:hAnsi="宋体"/>
          <w:color w:val="auto"/>
          <w:highlight w:val="none"/>
        </w:rPr>
        <w:t xml:space="preserve">及评标委员会联系。</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eastAsia="zh-CN"/>
        </w:rPr>
        <w:t xml:space="preserve">7</w:t>
      </w:r>
      <w:r>
        <w:rPr>
          <w:rFonts w:hint="eastAsia" w:ascii="宋体" w:hAnsi="宋体" w:eastAsia="宋体"/>
          <w:color w:val="auto"/>
          <w:sz w:val="21"/>
          <w:szCs w:val="21"/>
          <w:highlight w:val="none"/>
        </w:rPr>
        <w:t xml:space="preserve">、无效投标条款和废标条款</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.1无效投标条款</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.1.1 投标人在苏采云系统规定的时间内未成功解密电子投标文件的。</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.1.2 投标人未按照招标文件要求上传电子投标文件的。</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.1.3同一投标人提交两个（含两个）以上不同的投标报价的。</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.1.4投标人不具备招标文件中规定资格要求的。</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.1.5投标人的报价超过了采购预算或最高限价的。</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.1.6未通过符合性审查的。</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.1.7不符合招标文件中规定的其他实质性要求和条件的</w:t>
      </w:r>
      <w:r>
        <w:rPr>
          <w:rFonts w:hint="eastAsia" w:ascii="宋体" w:hAnsi="宋体" w:eastAsia="宋体"/>
          <w:b w:val="0"/>
          <w:bCs w:val="0"/>
          <w:i/>
          <w:iCs/>
          <w:color w:val="auto"/>
          <w:sz w:val="21"/>
          <w:szCs w:val="21"/>
          <w:highlight w:val="none"/>
          <w:u w:val="single"/>
        </w:rPr>
        <w:t xml:space="preserve">（本招标文件中斜体且有下划线部分为实质性要求和条件）。</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.1.8 投标人被 “信用中国”网站（www.creditchina.gov.cn）列入失信被执行人或重大税收违法案件当事人名单或政府采购严重失信行为记录名单</w:t>
      </w:r>
      <w:r>
        <w:rPr>
          <w:rFonts w:hint="eastAsia" w:ascii="宋体" w:hAnsi="宋体" w:eastAsia="宋体"/>
          <w:b w:val="0"/>
          <w:bCs w:val="0"/>
          <w:color w:val="auto"/>
          <w:sz w:val="21"/>
          <w:szCs w:val="21"/>
          <w:highlight w:val="none"/>
          <w:lang w:eastAsia="zh-CN"/>
        </w:rPr>
        <w:t xml:space="preserve">，</w:t>
      </w:r>
      <w:r>
        <w:rPr>
          <w:rFonts w:hint="eastAsia" w:ascii="宋体" w:hAnsi="宋体" w:eastAsia="宋体"/>
          <w:b w:val="0"/>
          <w:bCs w:val="0"/>
          <w:color w:val="auto"/>
          <w:sz w:val="21"/>
          <w:szCs w:val="21"/>
          <w:highlight w:val="none"/>
          <w:lang w:val="en-US" w:eastAsia="zh-CN"/>
        </w:rPr>
        <w:t xml:space="preserve">被</w:t>
      </w:r>
      <w:r>
        <w:rPr>
          <w:rFonts w:hint="eastAsia" w:ascii="宋体" w:hAnsi="宋体" w:eastAsia="宋体"/>
          <w:b w:val="0"/>
          <w:bCs w:val="0"/>
          <w:color w:val="auto"/>
          <w:sz w:val="21"/>
          <w:szCs w:val="21"/>
          <w:highlight w:val="none"/>
        </w:rPr>
        <w:t xml:space="preserve">“中国政府采购网"(www.ccgp.gov.cn)</w:t>
      </w:r>
      <w:r>
        <w:rPr>
          <w:rFonts w:hint="eastAsia" w:ascii="宋体" w:hAnsi="宋体" w:eastAsia="宋体"/>
          <w:b w:val="0"/>
          <w:bCs w:val="0"/>
          <w:color w:val="auto"/>
          <w:sz w:val="21"/>
          <w:szCs w:val="21"/>
          <w:highlight w:val="none"/>
          <w:lang w:val="en-US" w:eastAsia="zh-CN"/>
        </w:rPr>
        <w:t xml:space="preserve">列入政府采购严重失信行为记录名单，</w:t>
      </w:r>
      <w:r>
        <w:rPr>
          <w:rFonts w:hint="eastAsia" w:ascii="宋体" w:hAnsi="宋体" w:eastAsia="宋体"/>
          <w:b w:val="0"/>
          <w:bCs w:val="0"/>
          <w:color w:val="auto"/>
          <w:sz w:val="21"/>
          <w:szCs w:val="21"/>
          <w:highlight w:val="none"/>
        </w:rPr>
        <w:t xml:space="preserve">或查询“信用中国”网站后发现投标人存在其他不符合《中华人民共和国政府采购法》第二十二条规定条件的信用记录。</w:t>
      </w:r>
      <w:r/>
    </w:p>
    <w:p>
      <w:pPr>
        <w:pStyle w:val="921"/>
        <w:ind w:firstLine="420"/>
        <w:spacing w:before="0" w:after="0" w:line="360" w:lineRule="auto"/>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 xml:space="preserve">2</w:t>
      </w:r>
      <w:r>
        <w:rPr>
          <w:rFonts w:hint="eastAsia" w:ascii="宋体" w:hAnsi="宋体" w:eastAsia="宋体"/>
          <w:b w:val="0"/>
          <w:bCs w:val="0"/>
          <w:color w:val="auto"/>
          <w:sz w:val="21"/>
          <w:szCs w:val="21"/>
          <w:highlight w:val="none"/>
          <w:lang w:val="en-US" w:eastAsia="zh-CN"/>
        </w:rPr>
        <w:t xml:space="preserve">7</w:t>
      </w:r>
      <w:r>
        <w:rPr>
          <w:rFonts w:hint="eastAsia" w:ascii="宋体" w:hAnsi="宋体" w:eastAsia="宋体"/>
          <w:b w:val="0"/>
          <w:bCs w:val="0"/>
          <w:color w:val="auto"/>
          <w:sz w:val="21"/>
          <w:szCs w:val="21"/>
          <w:highlight w:val="none"/>
        </w:rPr>
        <w:t xml:space="preserve">.1.9  投标文件含有采购人不能接受的附加条件的。</w:t>
      </w:r>
      <w:r/>
    </w:p>
    <w:p>
      <w:pPr>
        <w:pStyle w:val="921"/>
        <w:ind w:firstLine="422"/>
        <w:spacing w:before="0" w:after="0" w:line="360" w:lineRule="auto"/>
        <w:rPr>
          <w:rFonts w:hint="eastAsia" w:ascii="宋体" w:hAnsi="宋体" w:eastAsia="宋体"/>
          <w:b/>
          <w:bCs/>
          <w:color w:val="ff0000"/>
          <w:sz w:val="21"/>
          <w:szCs w:val="21"/>
          <w:highlight w:val="none"/>
          <w:lang w:val="en-US" w:eastAsia="zh-CN"/>
        </w:rPr>
      </w:pPr>
      <w:r>
        <w:rPr>
          <w:rFonts w:hint="eastAsia" w:ascii="宋体" w:hAnsi="宋体" w:eastAsia="宋体"/>
          <w:b/>
          <w:bCs/>
          <w:color w:val="ff0000"/>
          <w:sz w:val="21"/>
          <w:szCs w:val="21"/>
          <w:highlight w:val="none"/>
        </w:rPr>
        <w:t xml:space="preserve">2</w:t>
      </w:r>
      <w:r>
        <w:rPr>
          <w:rFonts w:hint="eastAsia" w:ascii="宋体" w:hAnsi="宋体" w:eastAsia="宋体"/>
          <w:b/>
          <w:bCs/>
          <w:color w:val="ff0000"/>
          <w:sz w:val="21"/>
          <w:szCs w:val="21"/>
          <w:highlight w:val="none"/>
          <w:lang w:val="en-US" w:eastAsia="zh-CN"/>
        </w:rPr>
        <w:t xml:space="preserve">7</w:t>
      </w:r>
      <w:r>
        <w:rPr>
          <w:rFonts w:hint="eastAsia" w:ascii="宋体" w:hAnsi="宋体" w:eastAsia="宋体"/>
          <w:b/>
          <w:bCs/>
          <w:color w:val="ff0000"/>
          <w:sz w:val="21"/>
          <w:szCs w:val="21"/>
          <w:highlight w:val="none"/>
        </w:rPr>
        <w:t xml:space="preserve">.1.10</w:t>
      </w:r>
      <w:r>
        <w:rPr>
          <w:rFonts w:hint="eastAsia" w:ascii="宋体" w:hAnsi="宋体" w:eastAsia="宋体"/>
          <w:b/>
          <w:bCs/>
          <w:color w:val="ff0000"/>
          <w:sz w:val="21"/>
          <w:szCs w:val="21"/>
          <w:highlight w:val="none"/>
          <w:lang w:val="en-US" w:eastAsia="zh-CN"/>
        </w:rPr>
        <w:t xml:space="preserve"> 异常低价投标（响应）</w:t>
      </w:r>
      <w:r/>
    </w:p>
    <w:p>
      <w:pPr>
        <w:pStyle w:val="921"/>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27.1.10.</w:t>
      </w:r>
      <w:r>
        <w:rPr>
          <w:rFonts w:hint="eastAsia" w:ascii="宋体" w:hAnsi="宋体" w:eastAsia="宋体"/>
          <w:b/>
          <w:bCs/>
          <w:color w:val="ff0000"/>
          <w:sz w:val="21"/>
          <w:szCs w:val="21"/>
          <w:highlight w:val="none"/>
        </w:rPr>
        <w:t xml:space="preserve">1投标（响应）报价低于采购项目预算 50% 的，即投标（响应）报价&lt;采购项目预算×50% ；</w:t>
      </w:r>
      <w:r/>
    </w:p>
    <w:p>
      <w:pPr>
        <w:pStyle w:val="921"/>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lang w:val="en-US" w:eastAsia="zh-CN"/>
        </w:rPr>
        <w:t xml:space="preserve">27.1.10.</w:t>
      </w:r>
      <w:r>
        <w:rPr>
          <w:rFonts w:hint="eastAsia" w:ascii="宋体" w:hAnsi="宋体" w:eastAsia="宋体"/>
          <w:b/>
          <w:bCs/>
          <w:color w:val="ff0000"/>
          <w:sz w:val="21"/>
          <w:szCs w:val="21"/>
          <w:highlight w:val="none"/>
        </w:rPr>
        <w:t xml:space="preserve">2投标（响应）报价低于采购项目最高限价 45% 的，即投标（响应）报价&lt;采购项目最高限价×45% ；</w:t>
      </w:r>
      <w:r/>
    </w:p>
    <w:p>
      <w:pPr>
        <w:pStyle w:val="921"/>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w:t>
      </w:r>
      <w:r>
        <w:rPr>
          <w:rFonts w:hint="eastAsia" w:ascii="宋体" w:hAnsi="宋体" w:eastAsia="宋体"/>
          <w:b/>
          <w:bCs/>
          <w:color w:val="ff0000"/>
          <w:sz w:val="21"/>
          <w:szCs w:val="21"/>
          <w:highlight w:val="none"/>
          <w:lang w:val="en-US" w:eastAsia="zh-CN"/>
        </w:rPr>
        <w:t xml:space="preserve">7</w:t>
      </w:r>
      <w:r>
        <w:rPr>
          <w:rFonts w:hint="eastAsia" w:ascii="宋体" w:hAnsi="宋体" w:eastAsia="宋体"/>
          <w:b/>
          <w:bCs/>
          <w:color w:val="ff0000"/>
          <w:sz w:val="21"/>
          <w:szCs w:val="21"/>
          <w:highlight w:val="none"/>
        </w:rPr>
        <w:t xml:space="preserve">.1.10.</w:t>
      </w:r>
      <w:r>
        <w:rPr>
          <w:rFonts w:hint="eastAsia" w:ascii="宋体" w:hAnsi="宋体" w:eastAsia="宋体"/>
          <w:b/>
          <w:bCs/>
          <w:color w:val="ff0000"/>
          <w:sz w:val="21"/>
          <w:szCs w:val="21"/>
          <w:highlight w:val="none"/>
          <w:lang w:val="en-US" w:eastAsia="zh-CN"/>
        </w:rPr>
        <w:t xml:space="preserve">3</w:t>
      </w:r>
      <w:r>
        <w:rPr>
          <w:rFonts w:hint="eastAsia" w:ascii="宋体" w:hAnsi="宋体" w:eastAsia="宋体"/>
          <w:b/>
          <w:bCs/>
          <w:color w:val="ff0000"/>
          <w:sz w:val="21"/>
          <w:szCs w:val="21"/>
          <w:highlight w:val="none"/>
        </w:rPr>
        <w:t xml:space="preserve">评审委员会认定的供应商报价过低、有可能影响产品质量或者不能诚信履约的其他情形。</w:t>
      </w:r>
      <w:r/>
    </w:p>
    <w:p>
      <w:pPr>
        <w:pStyle w:val="921"/>
        <w:ind w:firstLine="422"/>
        <w:spacing w:before="0" w:after="0" w:line="360" w:lineRule="auto"/>
        <w:rPr>
          <w:rFonts w:hint="eastAsia" w:ascii="宋体" w:hAnsi="宋体" w:eastAsia="宋体"/>
          <w:b/>
          <w:bCs/>
          <w:color w:val="ff0000"/>
          <w:sz w:val="21"/>
          <w:szCs w:val="21"/>
          <w:highlight w:val="none"/>
        </w:rPr>
      </w:pPr>
      <w:r>
        <w:rPr>
          <w:rFonts w:hint="eastAsia" w:ascii="宋体" w:hAnsi="宋体" w:eastAsia="宋体"/>
          <w:b/>
          <w:bCs/>
          <w:color w:val="ff0000"/>
          <w:sz w:val="21"/>
          <w:szCs w:val="21"/>
          <w:highlight w:val="none"/>
        </w:rPr>
        <w:t xml:space="preserve">2</w:t>
      </w:r>
      <w:r>
        <w:rPr>
          <w:rFonts w:hint="eastAsia" w:ascii="宋体" w:hAnsi="宋体" w:eastAsia="宋体"/>
          <w:b/>
          <w:bCs/>
          <w:color w:val="ff0000"/>
          <w:sz w:val="21"/>
          <w:szCs w:val="21"/>
          <w:highlight w:val="none"/>
          <w:lang w:val="en-US" w:eastAsia="zh-CN"/>
        </w:rPr>
        <w:t xml:space="preserve">7</w:t>
      </w:r>
      <w:r>
        <w:rPr>
          <w:rFonts w:hint="eastAsia" w:ascii="宋体" w:hAnsi="宋体" w:eastAsia="宋体"/>
          <w:b/>
          <w:bCs/>
          <w:color w:val="ff0000"/>
          <w:sz w:val="21"/>
          <w:szCs w:val="21"/>
          <w:highlight w:val="none"/>
        </w:rPr>
        <w:t xml:space="preserve">.1.10.</w:t>
      </w:r>
      <w:r>
        <w:rPr>
          <w:rFonts w:hint="eastAsia" w:ascii="宋体" w:hAnsi="宋体" w:eastAsia="宋体"/>
          <w:b/>
          <w:bCs/>
          <w:color w:val="ff0000"/>
          <w:sz w:val="21"/>
          <w:szCs w:val="21"/>
          <w:highlight w:val="none"/>
          <w:lang w:val="en-US" w:eastAsia="zh-CN"/>
        </w:rPr>
        <w:t xml:space="preserve">4</w:t>
      </w:r>
      <w:r>
        <w:rPr>
          <w:rFonts w:hint="eastAsia" w:ascii="宋体" w:hAnsi="宋体" w:eastAsia="宋体"/>
          <w:b/>
          <w:bCs/>
          <w:color w:val="ff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.1.1</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auto"/>
          <w:szCs w:val="21"/>
          <w:highlight w:val="none"/>
          <w:lang w:val="en-US" w:eastAsia="zh-CN"/>
        </w:rPr>
        <w:t xml:space="preserve">原件扫描件</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.1.1</w:t>
      </w:r>
      <w:r>
        <w:rPr>
          <w:rFonts w:hint="eastAsia" w:ascii="宋体" w:hAnsi="宋体"/>
          <w:bCs/>
          <w:color w:val="auto"/>
          <w:szCs w:val="21"/>
          <w:highlight w:val="none"/>
          <w:lang w:val="en-US" w:eastAsia="zh-CN"/>
        </w:rPr>
        <w:t xml:space="preserve">2 </w:t>
      </w:r>
      <w:r>
        <w:rPr>
          <w:rFonts w:hint="eastAsia" w:ascii="宋体" w:hAnsi="宋体"/>
          <w:bCs/>
          <w:color w:val="auto"/>
          <w:szCs w:val="21"/>
          <w:highlight w:val="none"/>
        </w:rPr>
        <w:t xml:space="preserve">投标文件未按照招标文件要求加盖</w:t>
      </w:r>
      <w:r>
        <w:rPr>
          <w:rFonts w:hint="eastAsia" w:ascii="宋体" w:hAnsi="宋体"/>
          <w:bCs/>
          <w:color w:val="auto"/>
          <w:szCs w:val="21"/>
          <w:highlight w:val="none"/>
          <w:lang w:val="en-US" w:eastAsia="zh-CN"/>
        </w:rPr>
        <w:t xml:space="preserve">CA</w:t>
      </w:r>
      <w:r>
        <w:rPr>
          <w:rFonts w:hint="eastAsia" w:ascii="宋体" w:hAnsi="宋体"/>
          <w:bCs/>
          <w:color w:val="auto"/>
          <w:szCs w:val="21"/>
          <w:highlight w:val="none"/>
        </w:rPr>
        <w:t xml:space="preserve">电子</w:t>
      </w:r>
      <w:r>
        <w:rPr>
          <w:rFonts w:hint="eastAsia" w:ascii="宋体" w:hAnsi="宋体"/>
          <w:bCs/>
          <w:color w:val="auto"/>
          <w:szCs w:val="21"/>
          <w:highlight w:val="none"/>
          <w:lang w:val="en-US" w:eastAsia="zh-CN"/>
        </w:rPr>
        <w:t xml:space="preserve">公章的</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.1.1</w:t>
      </w:r>
      <w:r>
        <w:rPr>
          <w:rFonts w:hint="eastAsia" w:ascii="宋体" w:hAnsi="宋体"/>
          <w:bCs/>
          <w:color w:val="auto"/>
          <w:szCs w:val="21"/>
          <w:highlight w:val="none"/>
          <w:lang w:val="en-US" w:eastAsia="zh-CN"/>
        </w:rPr>
        <w:t xml:space="preserve">3 </w:t>
      </w:r>
      <w:r>
        <w:rPr>
          <w:rFonts w:hint="eastAsia" w:ascii="宋体" w:hAnsi="宋体"/>
          <w:bCs/>
          <w:color w:val="auto"/>
          <w:szCs w:val="21"/>
          <w:highlight w:val="none"/>
        </w:rPr>
        <w:t xml:space="preserve">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.2废标条款：</w:t>
      </w:r>
      <w:r/>
    </w:p>
    <w:p>
      <w:pPr>
        <w:pStyle w:val="921"/>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w:t>
      </w:r>
      <w:r>
        <w:rPr>
          <w:rFonts w:hint="eastAsia" w:ascii="宋体" w:hAnsi="宋体" w:eastAsia="宋体" w:cs="Times New Roman"/>
          <w:b w:val="0"/>
          <w:bCs w:val="0"/>
          <w:color w:val="auto"/>
          <w:sz w:val="21"/>
          <w:szCs w:val="21"/>
          <w:highlight w:val="none"/>
          <w:lang w:val="en-US" w:eastAsia="zh-CN"/>
        </w:rPr>
        <w:t xml:space="preserve">7</w:t>
      </w:r>
      <w:r>
        <w:rPr>
          <w:rFonts w:hint="eastAsia" w:ascii="宋体" w:hAnsi="宋体" w:eastAsia="宋体" w:cs="Times New Roman"/>
          <w:b w:val="0"/>
          <w:bCs w:val="0"/>
          <w:color w:val="auto"/>
          <w:sz w:val="21"/>
          <w:szCs w:val="21"/>
          <w:highlight w:val="none"/>
        </w:rPr>
        <w:t xml:space="preserve">.2.1符合专业条件的供应商或者对招标文件作实质响应的供应商不足三家的。</w:t>
      </w:r>
      <w:r/>
    </w:p>
    <w:p>
      <w:pPr>
        <w:pStyle w:val="921"/>
        <w:ind w:firstLine="420"/>
        <w:spacing w:before="0" w:after="0" w:line="360" w:lineRule="auto"/>
        <w:rPr>
          <w:rFonts w:hint="eastAsia" w:ascii="宋体" w:hAnsi="宋体" w:eastAsia="宋体" w:cs="Times New Roman"/>
          <w:b w:val="0"/>
          <w:bCs w:val="0"/>
          <w:color w:val="auto"/>
          <w:sz w:val="21"/>
          <w:szCs w:val="21"/>
          <w:highlight w:val="none"/>
        </w:rPr>
      </w:pPr>
      <w:r>
        <w:rPr>
          <w:rFonts w:hint="eastAsia" w:ascii="宋体" w:hAnsi="宋体" w:eastAsia="宋体" w:cs="Times New Roman"/>
          <w:b w:val="0"/>
          <w:bCs w:val="0"/>
          <w:color w:val="auto"/>
          <w:sz w:val="21"/>
          <w:szCs w:val="21"/>
          <w:highlight w:val="none"/>
        </w:rPr>
        <w:t xml:space="preserve">2</w:t>
      </w:r>
      <w:r>
        <w:rPr>
          <w:rFonts w:hint="eastAsia" w:ascii="宋体" w:hAnsi="宋体" w:eastAsia="宋体" w:cs="Times New Roman"/>
          <w:b w:val="0"/>
          <w:bCs w:val="0"/>
          <w:color w:val="auto"/>
          <w:sz w:val="21"/>
          <w:szCs w:val="21"/>
          <w:highlight w:val="none"/>
          <w:lang w:val="en-US" w:eastAsia="zh-CN"/>
        </w:rPr>
        <w:t xml:space="preserve">7</w:t>
      </w:r>
      <w:r>
        <w:rPr>
          <w:rFonts w:hint="eastAsia" w:ascii="宋体" w:hAnsi="宋体" w:eastAsia="宋体" w:cs="Times New Roman"/>
          <w:b w:val="0"/>
          <w:bCs w:val="0"/>
          <w:color w:val="auto"/>
          <w:sz w:val="21"/>
          <w:szCs w:val="21"/>
          <w:highlight w:val="none"/>
        </w:rPr>
        <w:t xml:space="preserve">.2.2出现影响采购公正的违法、违规行为的。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.3 投标截止时间结束后参加投标的供应商不足三家的处理：</w:t>
      </w:r>
      <w:r/>
    </w:p>
    <w:p>
      <w:pPr>
        <w:pStyle w:val="921"/>
        <w:ind w:firstLine="420"/>
        <w:spacing w:before="0" w:after="0" w:line="360" w:lineRule="auto"/>
        <w:rPr>
          <w:rFonts w:hint="eastAsia" w:ascii="宋体" w:hAnsi="宋体" w:eastAsia="宋体" w:cs="Times New Roman"/>
          <w:bCs/>
          <w:color w:val="auto"/>
          <w:szCs w:val="21"/>
          <w:highlight w:val="none"/>
        </w:rPr>
      </w:pPr>
      <w:r>
        <w:rPr>
          <w:rFonts w:hint="eastAsia" w:ascii="宋体" w:hAnsi="宋体" w:eastAsia="宋体" w:cs="Times New Roman"/>
          <w:b w:val="0"/>
          <w:bCs w:val="0"/>
          <w:color w:val="auto"/>
          <w:sz w:val="21"/>
          <w:szCs w:val="21"/>
          <w:highlight w:val="none"/>
        </w:rPr>
        <w:t xml:space="preserve">2</w:t>
      </w:r>
      <w:r>
        <w:rPr>
          <w:rFonts w:hint="eastAsia" w:ascii="宋体" w:hAnsi="宋体" w:eastAsia="宋体" w:cs="Times New Roman"/>
          <w:b w:val="0"/>
          <w:bCs w:val="0"/>
          <w:color w:val="auto"/>
          <w:sz w:val="21"/>
          <w:szCs w:val="21"/>
          <w:highlight w:val="none"/>
          <w:lang w:val="en-US" w:eastAsia="zh-CN"/>
        </w:rPr>
        <w:t xml:space="preserve">7</w:t>
      </w:r>
      <w:r>
        <w:rPr>
          <w:rFonts w:hint="eastAsia" w:ascii="宋体" w:hAnsi="宋体" w:eastAsia="宋体" w:cs="Times New Roman"/>
          <w:b w:val="0"/>
          <w:bCs w:val="0"/>
          <w:color w:val="auto"/>
          <w:sz w:val="21"/>
          <w:szCs w:val="21"/>
          <w:highlight w:val="none"/>
        </w:rPr>
        <w:t xml:space="preserve">.3.1如出现投标截止时间结束后参加投标的供应商或者在评标期间对招标文件做出实质性响应的供应商不足三家情况，按政府采购相关规定执行。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hint="eastAsia" w:ascii="宋体" w:hAnsi="宋体"/>
          <w:b/>
          <w:color w:val="auto"/>
          <w:szCs w:val="21"/>
          <w:highlight w:val="none"/>
          <w:lang w:val="en-US" w:eastAsia="zh-CN"/>
        </w:rPr>
        <w:t xml:space="preserve">8</w:t>
      </w:r>
      <w:r>
        <w:rPr>
          <w:rFonts w:hint="eastAsia" w:ascii="宋体" w:hAnsi="宋体"/>
          <w:b/>
          <w:color w:val="auto"/>
          <w:szCs w:val="21"/>
          <w:highlight w:val="none"/>
        </w:rPr>
        <w:t xml:space="preserve">、确定中标单位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.1中标候选人的选取原则和数量见招标文件第五章规定。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.3代理机构将在“仪征市政府采购网”、“扬州市政府采购网”、“</w:t>
      </w:r>
      <w:r>
        <w:rPr>
          <w:rFonts w:hint="eastAsia" w:ascii="宋体" w:hAnsi="宋体"/>
          <w:bCs/>
          <w:color w:val="auto"/>
          <w:szCs w:val="21"/>
          <w:highlight w:val="none"/>
          <w:lang w:eastAsia="zh-CN"/>
        </w:rPr>
        <w:t xml:space="preserve">江苏政府采购网</w:t>
      </w:r>
      <w:r>
        <w:rPr>
          <w:rFonts w:hint="eastAsia" w:ascii="宋体" w:hAnsi="宋体"/>
          <w:bCs/>
          <w:color w:val="auto"/>
          <w:szCs w:val="21"/>
          <w:highlight w:val="none"/>
        </w:rPr>
        <w:t xml:space="preserve">”</w:t>
      </w:r>
      <w:r>
        <w:rPr>
          <w:rFonts w:hint="eastAsia" w:ascii="宋体" w:hAnsi="宋体"/>
          <w:bCs/>
          <w:color w:val="auto"/>
          <w:szCs w:val="21"/>
          <w:highlight w:val="none"/>
          <w:lang w:eastAsia="zh-CN"/>
        </w:rPr>
        <w:t xml:space="preserve">“</w:t>
      </w:r>
      <w:r>
        <w:rPr>
          <w:rFonts w:hint="eastAsia" w:ascii="宋体" w:hAnsi="宋体"/>
          <w:bCs/>
          <w:color w:val="auto"/>
          <w:szCs w:val="21"/>
          <w:highlight w:val="none"/>
          <w:lang w:val="en-US" w:eastAsia="zh-CN"/>
        </w:rPr>
        <w:t xml:space="preserve">中国政府采购网</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 有下列情形之一的，视为投标人串通投标，投标无效：</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.5.1不同投标人的投标文件由同一单位或者个人编制。</w:t>
      </w:r>
      <w:r/>
    </w:p>
    <w:p>
      <w:pPr>
        <w:ind w:firstLine="422"/>
        <w:spacing w:line="360" w:lineRule="auto"/>
        <w:rPr>
          <w:rFonts w:hint="eastAsia" w:ascii="宋体" w:hAnsi="宋体" w:eastAsia="宋体" w:cs="Times New Roman"/>
          <w:b/>
          <w:bCs w:val="0"/>
          <w:color w:val="ff0000"/>
          <w:szCs w:val="21"/>
          <w:highlight w:val="none"/>
        </w:rPr>
      </w:pPr>
      <w:r>
        <w:rPr>
          <w:rFonts w:hint="eastAsia" w:ascii="宋体" w:hAnsi="宋体" w:eastAsia="宋体" w:cs="Times New Roman"/>
          <w:b/>
          <w:bCs w:val="0"/>
          <w:color w:val="ff0000"/>
          <w:szCs w:val="21"/>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.5.3 不同投标人的投标文件载明的项目管理成员或者联系人员为同一人。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.5.4不同投标人的投标文件异常一致或者投标报价呈规律性差异。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hint="eastAsia" w:ascii="宋体" w:hAnsi="宋体"/>
          <w:b/>
          <w:color w:val="auto"/>
          <w:szCs w:val="21"/>
          <w:highlight w:val="none"/>
          <w:lang w:val="en-US" w:eastAsia="zh-CN"/>
        </w:rPr>
        <w:t xml:space="preserve">9</w:t>
      </w:r>
      <w:r>
        <w:rPr>
          <w:rFonts w:hint="eastAsia" w:ascii="宋体" w:hAnsi="宋体"/>
          <w:b/>
          <w:color w:val="auto"/>
          <w:szCs w:val="21"/>
          <w:highlight w:val="none"/>
        </w:rPr>
        <w:t xml:space="preserve">、质疑处理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或采购人提出质疑。上述应知其权益受到损害之日，是指：</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.2.1对采购文件提出质疑的，为收到采购文件之日或者采购文件公告期限届满之日；</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.2.2对采购过程提出质疑的，为各采购程序环节结束之日</w:t>
      </w:r>
      <w:r>
        <w:rPr>
          <w:rFonts w:hint="eastAsia" w:ascii="宋体" w:hAnsi="宋体"/>
          <w:bCs/>
          <w:color w:val="auto"/>
          <w:szCs w:val="21"/>
          <w:highlight w:val="none"/>
          <w:lang w:eastAsia="zh-CN"/>
        </w:rPr>
        <w:t xml:space="preserve">；</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.2.3对中标或者成交结果提出质疑的，为中标或者成交结果公告期限届满之日</w:t>
      </w:r>
      <w:r>
        <w:rPr>
          <w:rFonts w:hint="eastAsia" w:ascii="宋体" w:hAnsi="宋体"/>
          <w:bCs/>
          <w:color w:val="auto"/>
          <w:szCs w:val="21"/>
          <w:highlight w:val="none"/>
          <w:lang w:eastAsia="zh-CN"/>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3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29.5</w:t>
      </w: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30</w:t>
      </w:r>
      <w:r>
        <w:rPr>
          <w:rFonts w:hint="eastAsia" w:ascii="宋体" w:hAnsi="宋体"/>
          <w:b/>
          <w:color w:val="auto"/>
          <w:szCs w:val="21"/>
          <w:highlight w:val="none"/>
        </w:rPr>
        <w:t xml:space="preserve">、中标通知书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30</w:t>
      </w:r>
      <w:r>
        <w:rPr>
          <w:rFonts w:hint="eastAsia" w:ascii="宋体" w:hAnsi="宋体"/>
          <w:bCs/>
          <w:color w:val="auto"/>
          <w:szCs w:val="21"/>
          <w:highlight w:val="none"/>
        </w:rPr>
        <w:t xml:space="preserve">.l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30</w:t>
      </w:r>
      <w:r>
        <w:rPr>
          <w:rFonts w:hint="eastAsia" w:ascii="宋体" w:hAnsi="宋体"/>
          <w:bCs/>
          <w:color w:val="auto"/>
          <w:szCs w:val="21"/>
          <w:highlight w:val="none"/>
        </w:rPr>
        <w:t xml:space="preserve">.2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30</w:t>
      </w:r>
      <w:r>
        <w:rPr>
          <w:rFonts w:hint="eastAsia" w:ascii="宋体" w:hAnsi="宋体"/>
          <w:bCs/>
          <w:color w:val="auto"/>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p>
    <w:p>
      <w:pPr>
        <w:pStyle w:val="921"/>
        <w:ind w:firstLine="422"/>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.3 签订合同后，</w:t>
      </w:r>
      <w:r>
        <w:rPr>
          <w:rFonts w:hint="eastAsia" w:ascii="宋体" w:hAnsi="宋体"/>
          <w:bCs/>
          <w:i/>
          <w:iCs/>
          <w:color w:val="auto"/>
          <w:szCs w:val="21"/>
          <w:highlight w:val="none"/>
          <w:u w:val="single"/>
        </w:rPr>
        <w:t xml:space="preserve">中标人不得将合同标的进行转包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。未经采购人同意，中标人也不得采用分包的形式履行合同，否则采购人有权终止合同。转包或分包造成采购人损失的，中标人应承担相应赔偿责任。</w:t>
      </w:r>
      <w:r/>
    </w:p>
    <w:p>
      <w:pPr>
        <w:ind w:firstLine="422"/>
        <w:jc w:val="left"/>
        <w:spacing w:line="360" w:lineRule="auto"/>
        <w:rPr>
          <w:rFonts w:hint="eastAsia"/>
          <w:color w:val="auto"/>
          <w:highlight w:val="none"/>
        </w:rPr>
      </w:pPr>
      <w:r>
        <w:rPr>
          <w:rFonts w:hint="eastAsia" w:ascii="宋体" w:hAnsi="宋体" w:eastAsia="宋体" w:cs="Times New Roman"/>
          <w:b/>
          <w:bCs/>
          <w:color w:val="auto"/>
          <w:sz w:val="21"/>
          <w:szCs w:val="21"/>
          <w:highlight w:val="none"/>
          <w:lang w:val="en-US" w:eastAsia="zh-CN" w:bidi="ar-SA"/>
        </w:rPr>
        <w:t xml:space="preserve">32、其他</w:t>
      </w:r>
      <w:r>
        <w:rPr>
          <w:rFonts w:hint="eastAsia" w:ascii="宋体" w:hAnsi="宋体" w:eastAsia="宋体" w:cs="Times New Roman"/>
          <w:b/>
          <w:bCs/>
          <w:color w:val="auto"/>
          <w:sz w:val="21"/>
          <w:szCs w:val="21"/>
          <w:highlight w:val="none"/>
          <w:lang w:val="en-US" w:eastAsia="zh-CN" w:bidi="ar-SA"/>
        </w:rPr>
        <w:br/>
      </w:r>
      <w:r>
        <w:rPr>
          <w:rFonts w:hint="eastAsia" w:ascii="宋体" w:hAnsi="宋体" w:eastAsia="宋体" w:cs="Times New Roman"/>
          <w:bCs/>
          <w:color w:val="auto"/>
          <w:szCs w:val="21"/>
          <w:highlight w:val="none"/>
          <w:lang w:val="en-US" w:eastAsia="zh-CN"/>
        </w:rPr>
        <w:t xml:space="preserve">    32.1 依据《政府采购促进中小企业发展管理办法》享受享受扶持政策获得政府采购合同的，</w:t>
      </w:r>
      <w:r>
        <w:rPr>
          <w:rFonts w:hint="eastAsia"/>
          <w:color w:val="auto"/>
          <w:highlight w:val="none"/>
        </w:rPr>
        <w:t xml:space="preserve">小微企业不得将合同分包给大中型企业，中型企业不得将合同分包给大型企业。</w:t>
      </w:r>
      <w:r/>
    </w:p>
    <w:p>
      <w:pPr>
        <w:ind w:firstLine="420"/>
        <w:spacing w:line="360" w:lineRule="auto"/>
        <w:rPr>
          <w:rFonts w:hint="eastAsia"/>
          <w:color w:val="auto"/>
          <w:highlight w:val="none"/>
        </w:rPr>
      </w:pPr>
      <w:r>
        <w:rPr>
          <w:rFonts w:hint="eastAsia" w:ascii="宋体" w:hAnsi="宋体" w:eastAsia="宋体" w:cs="Times New Roman"/>
          <w:bCs/>
          <w:color w:val="auto"/>
          <w:szCs w:val="21"/>
          <w:highlight w:val="none"/>
          <w:lang w:val="en-US" w:eastAsia="zh-CN"/>
        </w:rPr>
        <w:t xml:space="preserve">32.2 中标人可凭政府采购合同办理融资贷款，详情请见江苏政府采购网、扬州市政府采购网</w:t>
      </w:r>
      <w:r>
        <w:rPr>
          <w:rFonts w:hint="eastAsia"/>
          <w:color w:val="auto"/>
          <w:highlight w:val="none"/>
        </w:rPr>
        <w:t xml:space="preserve">“政采贷”专栏。</w:t>
      </w:r>
      <w:r/>
    </w:p>
    <w:p>
      <w:pPr>
        <w:ind w:firstLine="420"/>
        <w:spacing w:line="360" w:lineRule="auto"/>
        <w:rPr>
          <w:rFonts w:hint="eastAsia"/>
          <w:color w:val="auto"/>
          <w:highlight w:val="none"/>
        </w:rPr>
      </w:pPr>
      <w:r>
        <w:rPr>
          <w:rFonts w:hint="eastAsia"/>
          <w:color w:val="auto"/>
          <w:highlight w:val="none"/>
        </w:rPr>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rPr>
          <w:color w:val="auto"/>
          <w:highlight w:val="none"/>
        </w:rPr>
        <w:sectPr>
          <w:footnotePr/>
          <w:endnotePr/>
          <w:type w:val="nextPage"/>
          <w:pgSz w:w="11906" w:h="16838" w:orient="portrait"/>
          <w:pgMar w:top="1440" w:right="1536" w:bottom="1440" w:left="1576" w:header="851" w:footer="992" w:gutter="0"/>
          <w:cols w:num="1" w:sep="0" w:space="720" w:equalWidth="1"/>
          <w:docGrid w:linePitch="360"/>
        </w:sectPr>
      </w:pPr>
      <w:r>
        <w:rPr>
          <w:color w:val="auto"/>
          <w:highlight w:val="none"/>
        </w:rPr>
      </w:r>
      <w:r/>
    </w:p>
    <w:p>
      <w:pPr>
        <w:pStyle w:val="918"/>
        <w:jc w:val="center"/>
        <w:rPr>
          <w:rFonts w:hint="eastAsia" w:ascii="宋体" w:hAnsi="宋体" w:eastAsia="宋体"/>
          <w:color w:val="auto"/>
          <w:sz w:val="36"/>
          <w:highlight w:val="none"/>
          <w:lang w:eastAsia="zh-CN"/>
        </w:rPr>
      </w:pPr>
      <w:r/>
      <w:bookmarkStart w:id="51" w:name="_Toc501353473"/>
      <w:r/>
      <w:bookmarkStart w:id="52" w:name="_Toc22415"/>
      <w:r>
        <w:rPr>
          <w:rFonts w:hint="eastAsia" w:ascii="宋体" w:hAnsi="宋体"/>
          <w:color w:val="auto"/>
          <w:sz w:val="36"/>
          <w:highlight w:val="none"/>
        </w:rPr>
        <w:t xml:space="preserve">第三章 合同</w:t>
      </w:r>
      <w:bookmarkEnd w:id="51"/>
      <w:r/>
      <w:bookmarkEnd w:id="52"/>
      <w:r>
        <w:rPr>
          <w:rFonts w:hint="eastAsia" w:ascii="宋体" w:hAnsi="宋体"/>
          <w:color w:val="auto"/>
          <w:sz w:val="36"/>
          <w:highlight w:val="none"/>
          <w:lang w:val="en-US" w:eastAsia="zh-CN"/>
        </w:rPr>
        <w:t xml:space="preserve">文本</w:t>
      </w:r>
      <w:r/>
    </w:p>
    <w:p>
      <w:pPr>
        <w:ind w:firstLine="420"/>
        <w:spacing w:after="156" w:line="360" w:lineRule="auto"/>
        <w:rPr>
          <w:rFonts w:ascii="宋体" w:hAnsi="宋体"/>
          <w:bCs/>
          <w:color w:val="auto"/>
          <w:szCs w:val="21"/>
          <w:highlight w:val="none"/>
        </w:rPr>
      </w:pPr>
      <w:r/>
      <w:bookmarkStart w:id="53" w:name="_Hlt16619369"/>
      <w:r/>
      <w:bookmarkEnd w:id="53"/>
      <w:r>
        <w:rPr>
          <w:rFonts w:hint="eastAsia" w:ascii="宋体" w:hAnsi="宋体"/>
          <w:bCs/>
          <w:color w:val="auto"/>
          <w:szCs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p>
    <w:p>
      <w:pPr>
        <w:pStyle w:val="931"/>
        <w:rPr>
          <w:rFonts w:hint="eastAsia" w:hAnsi="宋体"/>
          <w:color w:val="auto"/>
          <w:highlight w:val="none"/>
        </w:rPr>
      </w:pPr>
      <w:r>
        <w:rPr>
          <w:rFonts w:hint="eastAsia" w:hAnsi="宋体"/>
          <w:color w:val="auto"/>
          <w:highlight w:val="none"/>
        </w:rPr>
      </w:r>
      <w:r/>
    </w:p>
    <w:p>
      <w:pPr>
        <w:jc w:val="center"/>
        <w:spacing w:before="156" w:after="156"/>
        <w:rPr>
          <w:rFonts w:hint="eastAsia" w:ascii="宋体" w:hAnsi="宋体"/>
          <w:b/>
          <w:color w:val="auto"/>
          <w:szCs w:val="21"/>
          <w:highlight w:val="none"/>
        </w:rPr>
        <w:outlineLvl w:val="0"/>
      </w:pPr>
      <w:r/>
      <w:bookmarkStart w:id="54" w:name="_Toc25028"/>
      <w:r>
        <w:rPr>
          <w:rFonts w:hint="eastAsia" w:ascii="宋体" w:hAnsi="宋体"/>
          <w:b/>
          <w:color w:val="auto"/>
          <w:szCs w:val="21"/>
          <w:highlight w:val="none"/>
        </w:rPr>
        <w:t xml:space="preserve">政府采购合同（货物）</w:t>
      </w:r>
      <w:bookmarkEnd w:id="54"/>
      <w:r/>
      <w:r/>
    </w:p>
    <w:p>
      <w:pPr>
        <w:jc w:val="center"/>
        <w:spacing w:before="156" w:after="156"/>
        <w:rPr>
          <w:rFonts w:hint="eastAsia" w:ascii="宋体" w:hAnsi="宋体"/>
          <w:b/>
          <w:bCs/>
          <w:color w:val="auto"/>
          <w:szCs w:val="21"/>
          <w:highlight w:val="none"/>
        </w:rPr>
        <w:outlineLvl w:val="0"/>
      </w:pPr>
      <w:r>
        <w:rPr>
          <w:rFonts w:hint="eastAsia" w:ascii="宋体" w:hAnsi="宋体"/>
          <w:b/>
          <w:bCs/>
          <w:color w:val="auto"/>
          <w:szCs w:val="21"/>
          <w:highlight w:val="none"/>
        </w:rPr>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项目名称：</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 </w:t>
      </w:r>
      <w:r>
        <w:rPr>
          <w:rFonts w:hint="default" w:ascii="宋体" w:hAnsi="宋体"/>
          <w:bCs/>
          <w:color w:val="auto"/>
          <w:szCs w:val="21"/>
          <w:highlight w:val="none"/>
          <w:u w:val="single"/>
          <w:lang w:eastAsia="zh-CN"/>
        </w:rPr>
        <w:t xml:space="preserve">仪征市应急管理局安全生产考试点特种作业考试设备更新升级项目</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编号：</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JSZC-321081-BYGC-G2025-0019</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甲方（采购人/甲方）：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lang w:eastAsia="zh-CN"/>
        </w:rPr>
        <w:t xml:space="preserve">仪征市应急管理局</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u w:val="single"/>
        </w:rPr>
      </w:pPr>
      <w:r>
        <w:rPr>
          <w:rFonts w:hint="eastAsia" w:ascii="宋体" w:hAnsi="宋体"/>
          <w:bCs/>
          <w:color w:val="auto"/>
          <w:szCs w:val="21"/>
          <w:highlight w:val="none"/>
        </w:rPr>
        <w:t xml:space="preserve">乙方（供应商/卖方）：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p>
    <w:p>
      <w:pPr>
        <w:keepLines w:val="0"/>
        <w:keepNext w:val="0"/>
        <w:pageBreakBefore w:val="0"/>
        <w:spacing w:before="120" w:after="120" w:line="360" w:lineRule="auto"/>
        <w:widowControl w:val="off"/>
        <w:rPr>
          <w:rFonts w:hint="eastAsia" w:ascii="宋体" w:hAnsi="宋体"/>
          <w:bCs/>
          <w:color w:val="auto"/>
          <w:szCs w:val="21"/>
          <w:highlight w:val="none"/>
        </w:rPr>
      </w:pPr>
      <w:r>
        <w:rPr>
          <w:rFonts w:hint="eastAsia" w:ascii="宋体" w:hAnsi="宋体"/>
          <w:bCs/>
          <w:color w:val="auto"/>
          <w:szCs w:val="21"/>
          <w:highlight w:val="none"/>
        </w:rPr>
        <w:t xml:space="preserve">见证方：扬州博远工程咨询有限公司</w:t>
      </w:r>
      <w:r/>
    </w:p>
    <w:p>
      <w:pPr>
        <w:pStyle w:val="931"/>
        <w:ind w:firstLine="420"/>
        <w:keepLines w:val="0"/>
        <w:keepNext w:val="0"/>
        <w:pageBreakBefore w:val="0"/>
        <w:spacing w:line="500" w:lineRule="exact"/>
        <w:widowControl w:val="off"/>
        <w:rPr>
          <w:rFonts w:hint="eastAsia" w:ascii="宋体" w:hAnsi="宋体"/>
          <w:bCs/>
          <w:color w:val="auto"/>
          <w:szCs w:val="21"/>
          <w:highlight w:val="none"/>
        </w:rPr>
      </w:pPr>
      <w:r>
        <w:rPr>
          <w:rFonts w:hint="eastAsia" w:hAnsi="宋体"/>
          <w:color w:val="auto"/>
          <w:sz w:val="21"/>
          <w:highlight w:val="none"/>
        </w:rPr>
        <w:t xml:space="preserve">甲、乙双方根据</w:t>
      </w:r>
      <w:r>
        <w:rPr>
          <w:rFonts w:hint="eastAsia" w:hAnsi="宋体"/>
          <w:color w:val="auto"/>
          <w:sz w:val="21"/>
          <w:highlight w:val="none"/>
          <w:u w:val="none"/>
        </w:rPr>
        <w:t xml:space="preserve">扬州博远工程咨询有限公司</w:t>
      </w:r>
      <w:r>
        <w:rPr>
          <w:rFonts w:hint="eastAsia" w:hAnsi="宋体"/>
          <w:color w:val="auto"/>
          <w:sz w:val="21"/>
          <w:highlight w:val="none"/>
          <w:u w:val="single"/>
          <w:lang w:eastAsia="zh-CN"/>
        </w:rPr>
        <w:t xml:space="preserve"> </w:t>
      </w:r>
      <w:r>
        <w:rPr>
          <w:rFonts w:hint="default" w:hAnsi="宋体"/>
          <w:color w:val="auto"/>
          <w:sz w:val="21"/>
          <w:highlight w:val="none"/>
          <w:u w:val="single"/>
          <w:lang w:eastAsia="zh-CN"/>
        </w:rPr>
        <w:t xml:space="preserve">仪征市应急管理局安全生产考试点特种作业考试设备更新升级项目</w:t>
      </w:r>
      <w:r>
        <w:rPr>
          <w:rFonts w:hint="eastAsia" w:hAnsi="宋体"/>
          <w:color w:val="auto"/>
          <w:sz w:val="21"/>
          <w:highlight w:val="none"/>
        </w:rPr>
        <w:t xml:space="preserve">公开招标的结果，签署本合同。</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1、合同标的</w:t>
      </w:r>
      <w:r/>
    </w:p>
    <w:p>
      <w:pPr>
        <w:pStyle w:val="931"/>
        <w:ind w:left="0" w:firstLine="420"/>
        <w:keepLines w:val="0"/>
        <w:keepNext w:val="0"/>
        <w:pageBreakBefore w:val="0"/>
        <w:spacing w:line="500" w:lineRule="exact"/>
        <w:widowControl w:val="off"/>
        <w:rPr>
          <w:rFonts w:hint="default" w:ascii="宋体" w:hAnsi="宋体" w:eastAsia="宋体" w:cs="Times New Roman"/>
          <w:bCs/>
          <w:color w:val="auto"/>
          <w:sz w:val="21"/>
          <w:highlight w:val="none"/>
          <w:u w:val="single"/>
          <w:lang w:val="en-US" w:eastAsia="zh-CN"/>
        </w:rPr>
      </w:pPr>
      <w:r>
        <w:rPr>
          <w:rFonts w:hint="eastAsia" w:ascii="宋体" w:hAnsi="宋体" w:eastAsia="宋体" w:cs="Times New Roman"/>
          <w:bCs/>
          <w:color w:val="auto"/>
          <w:sz w:val="21"/>
          <w:highlight w:val="none"/>
        </w:rPr>
        <w:t xml:space="preserve">1.1 标的名称：</w:t>
      </w:r>
      <w:r>
        <w:rPr>
          <w:rFonts w:hint="eastAsia" w:ascii="宋体" w:hAnsi="宋体" w:eastAsia="宋体" w:cs="Times New Roman"/>
          <w:bCs/>
          <w:color w:val="auto"/>
          <w:sz w:val="21"/>
          <w:highlight w:val="none"/>
          <w:u w:val="single"/>
          <w:lang w:val="en-US" w:eastAsia="zh-CN"/>
        </w:rPr>
        <w:t xml:space="preserve">                  </w:t>
      </w:r>
      <w:r/>
    </w:p>
    <w:p>
      <w:pPr>
        <w:pStyle w:val="931"/>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1.2 标的质量：</w:t>
      </w:r>
      <w:r>
        <w:rPr>
          <w:rFonts w:hint="eastAsia" w:ascii="宋体" w:hAnsi="宋体" w:eastAsia="宋体" w:cs="Times New Roman"/>
          <w:bCs/>
          <w:color w:val="auto"/>
          <w:sz w:val="21"/>
          <w:highlight w:val="none"/>
          <w:u w:val="single"/>
          <w:lang w:val="en-US" w:eastAsia="zh-CN"/>
        </w:rPr>
        <w:t xml:space="preserve">                  </w:t>
      </w:r>
      <w:r/>
    </w:p>
    <w:p>
      <w:pPr>
        <w:pStyle w:val="931"/>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1.3 标的数量（规模）：</w:t>
      </w:r>
      <w:r>
        <w:rPr>
          <w:rFonts w:hint="eastAsia" w:ascii="宋体" w:hAnsi="宋体" w:eastAsia="宋体" w:cs="Times New Roman"/>
          <w:bCs/>
          <w:color w:val="auto"/>
          <w:sz w:val="21"/>
          <w:highlight w:val="none"/>
          <w:u w:val="single"/>
          <w:lang w:val="en-US" w:eastAsia="zh-CN"/>
        </w:rPr>
        <w:t xml:space="preserve">                  </w:t>
      </w:r>
      <w:r/>
    </w:p>
    <w:p>
      <w:pPr>
        <w:pStyle w:val="931"/>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1.4 履行时间（期限）：</w:t>
      </w:r>
      <w:r>
        <w:rPr>
          <w:rFonts w:hint="eastAsia" w:ascii="宋体" w:hAnsi="宋体" w:eastAsia="宋体" w:cs="Times New Roman"/>
          <w:bCs/>
          <w:color w:val="auto"/>
          <w:sz w:val="21"/>
          <w:highlight w:val="none"/>
          <w:u w:val="single"/>
          <w:lang w:val="en-US" w:eastAsia="zh-CN"/>
        </w:rPr>
        <w:t xml:space="preserve">                  </w:t>
      </w:r>
      <w:r/>
    </w:p>
    <w:p>
      <w:pPr>
        <w:pStyle w:val="931"/>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1.5 履行地点：</w:t>
      </w:r>
      <w:r>
        <w:rPr>
          <w:rFonts w:hint="eastAsia" w:ascii="宋体" w:hAnsi="宋体" w:eastAsia="宋体" w:cs="Times New Roman"/>
          <w:bCs/>
          <w:color w:val="auto"/>
          <w:sz w:val="21"/>
          <w:highlight w:val="none"/>
          <w:u w:val="single"/>
          <w:lang w:val="en-US" w:eastAsia="zh-CN"/>
        </w:rPr>
        <w:t xml:space="preserve">                  </w:t>
      </w:r>
      <w:r/>
    </w:p>
    <w:p>
      <w:pPr>
        <w:pStyle w:val="931"/>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1.6 履行方式：</w:t>
      </w:r>
      <w:r>
        <w:rPr>
          <w:rFonts w:hint="eastAsia" w:ascii="宋体" w:hAnsi="宋体" w:eastAsia="宋体" w:cs="Times New Roman"/>
          <w:bCs/>
          <w:color w:val="auto"/>
          <w:sz w:val="21"/>
          <w:highlight w:val="none"/>
          <w:u w:val="single"/>
          <w:lang w:val="en-US" w:eastAsia="zh-CN"/>
        </w:rPr>
        <w:t xml:space="preserve">                  </w:t>
      </w:r>
      <w:r/>
    </w:p>
    <w:p>
      <w:pPr>
        <w:pStyle w:val="931"/>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1.7 包装方式：</w:t>
      </w:r>
      <w:r>
        <w:rPr>
          <w:rFonts w:hint="eastAsia" w:ascii="宋体" w:hAnsi="宋体" w:eastAsia="宋体" w:cs="Times New Roman"/>
          <w:bCs/>
          <w:color w:val="auto"/>
          <w:sz w:val="21"/>
          <w:highlight w:val="none"/>
          <w:u w:val="single"/>
          <w:lang w:val="en-US" w:eastAsia="zh-CN"/>
        </w:rPr>
        <w:t xml:space="preserve">                  </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2、合同总金额</w:t>
      </w:r>
      <w:r/>
    </w:p>
    <w:p>
      <w:pPr>
        <w:pStyle w:val="931"/>
        <w:ind w:left="0" w:firstLine="420"/>
        <w:keepLines w:val="0"/>
        <w:keepNext w:val="0"/>
        <w:pageBreakBefore w:val="0"/>
        <w:spacing w:line="500" w:lineRule="exact"/>
        <w:widowControl w:val="off"/>
        <w:rPr>
          <w:rFonts w:hint="eastAsia" w:hAnsi="宋体"/>
          <w:color w:val="auto"/>
          <w:sz w:val="21"/>
          <w:highlight w:val="none"/>
        </w:rPr>
      </w:pPr>
      <w:r>
        <w:rPr>
          <w:rFonts w:hint="eastAsia" w:hAnsi="宋体"/>
          <w:bCs/>
          <w:color w:val="auto"/>
          <w:sz w:val="21"/>
          <w:highlight w:val="none"/>
        </w:rPr>
        <w:t xml:space="preserve">2.1 本合同总金额为（大写）：</w:t>
      </w:r>
      <w:r>
        <w:rPr>
          <w:rFonts w:hint="eastAsia" w:hAnsi="宋体"/>
          <w:bCs/>
          <w:color w:val="auto"/>
          <w:sz w:val="21"/>
          <w:highlight w:val="none"/>
          <w:u w:val="single"/>
        </w:rPr>
        <w:t xml:space="preserve">          </w:t>
      </w:r>
      <w:r>
        <w:rPr>
          <w:rFonts w:hint="eastAsia" w:hAnsi="宋体"/>
          <w:bCs/>
          <w:color w:val="auto"/>
          <w:sz w:val="21"/>
          <w:highlight w:val="none"/>
          <w:u w:val="single"/>
          <w:lang w:val="en-US" w:eastAsia="zh-CN"/>
        </w:rPr>
        <w:t xml:space="preserve">      </w:t>
      </w:r>
      <w:r>
        <w:rPr>
          <w:rFonts w:hint="eastAsia" w:hAnsi="宋体"/>
          <w:bCs/>
          <w:color w:val="auto"/>
          <w:sz w:val="21"/>
          <w:highlight w:val="none"/>
          <w:u w:val="single"/>
        </w:rPr>
        <w:t xml:space="preserve">   </w:t>
      </w:r>
      <w:r>
        <w:rPr>
          <w:rFonts w:hint="eastAsia" w:hAnsi="宋体"/>
          <w:bCs/>
          <w:color w:val="auto"/>
          <w:sz w:val="21"/>
          <w:highlight w:val="none"/>
        </w:rPr>
        <w:t xml:space="preserve">元人民币（</w:t>
      </w:r>
      <w:r>
        <w:rPr>
          <w:rFonts w:hint="default" w:ascii="Arial" w:hAnsi="Arial" w:cs="Arial"/>
          <w:bCs/>
          <w:color w:val="auto"/>
          <w:sz w:val="21"/>
          <w:highlight w:val="none"/>
        </w:rPr>
        <w:t xml:space="preserve">¥</w:t>
      </w:r>
      <w:r>
        <w:rPr>
          <w:rFonts w:hint="eastAsia" w:hAnsi="宋体"/>
          <w:bCs/>
          <w:color w:val="auto"/>
          <w:sz w:val="21"/>
          <w:highlight w:val="none"/>
          <w:u w:val="single"/>
        </w:rPr>
        <w:t xml:space="preserve">          </w:t>
      </w:r>
      <w:r>
        <w:rPr>
          <w:rFonts w:hint="eastAsia" w:hAnsi="宋体"/>
          <w:bCs/>
          <w:color w:val="auto"/>
          <w:sz w:val="21"/>
          <w:highlight w:val="none"/>
        </w:rPr>
        <w:t xml:space="preserve">元）。</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3、组成本合同的有关文件</w:t>
      </w:r>
      <w:r/>
    </w:p>
    <w:p>
      <w:pPr>
        <w:pStyle w:val="931"/>
        <w:ind w:left="0" w:firstLine="420"/>
        <w:keepLines w:val="0"/>
        <w:keepNext w:val="0"/>
        <w:pageBreakBefore w:val="0"/>
        <w:spacing w:line="500" w:lineRule="exact"/>
        <w:widowControl w:val="off"/>
        <w:rPr>
          <w:rFonts w:hint="eastAsia" w:ascii="宋体" w:hAnsi="宋体" w:eastAsia="宋体" w:cs="Times New Roman"/>
          <w:bCs/>
          <w:color w:val="auto"/>
          <w:sz w:val="21"/>
          <w:highlight w:val="none"/>
        </w:rPr>
      </w:pPr>
      <w:r>
        <w:rPr>
          <w:rFonts w:hint="eastAsia" w:ascii="宋体" w:hAnsi="宋体" w:eastAsia="宋体" w:cs="Times New Roman"/>
          <w:bCs/>
          <w:color w:val="auto"/>
          <w:sz w:val="21"/>
          <w:highlight w:val="none"/>
        </w:rPr>
        <w:t xml:space="preserve">3.1乙方应按招标文件规定的时间向甲方提供使用货物(包含与货物相关的服务)的有关技术资料。</w:t>
      </w:r>
      <w:r/>
    </w:p>
    <w:p>
      <w:pPr>
        <w:pStyle w:val="931"/>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4、知识产权保证</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4.1 </w:t>
      </w:r>
      <w:r>
        <w:rPr>
          <w:rFonts w:hint="eastAsia" w:ascii="宋体" w:hAnsi="宋体"/>
          <w:bCs/>
          <w:color w:val="auto"/>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5、产权保证</w:t>
      </w:r>
      <w:r/>
    </w:p>
    <w:p>
      <w:pPr>
        <w:pStyle w:val="931"/>
        <w:ind w:left="0" w:firstLine="420"/>
        <w:keepLines w:val="0"/>
        <w:keepNext w:val="0"/>
        <w:pageBreakBefore w:val="0"/>
        <w:spacing w:line="500" w:lineRule="exact"/>
        <w:widowControl w:val="off"/>
        <w:rPr>
          <w:rFonts w:hint="eastAsia" w:hAnsi="宋体"/>
          <w:color w:val="auto"/>
          <w:sz w:val="21"/>
          <w:highlight w:val="none"/>
        </w:rPr>
      </w:pPr>
      <w:r>
        <w:rPr>
          <w:rFonts w:hint="eastAsia" w:hAnsi="宋体"/>
          <w:color w:val="auto"/>
          <w:sz w:val="21"/>
          <w:highlight w:val="none"/>
          <w:lang w:val="en-US" w:eastAsia="zh-CN"/>
        </w:rPr>
        <w:t xml:space="preserve">5.1 </w:t>
      </w:r>
      <w:r>
        <w:rPr>
          <w:rFonts w:hint="eastAsia" w:hAnsi="宋体"/>
          <w:color w:val="auto"/>
          <w:sz w:val="21"/>
          <w:highlight w:val="none"/>
        </w:rPr>
        <w:t xml:space="preserve">乙方保证所交付的货物（包含与货物相关的服务）的所有权完全属于乙方且无任何抵押、查封等产权瑕疵。</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6、履约保证金</w:t>
      </w:r>
      <w:r/>
    </w:p>
    <w:p>
      <w:pPr>
        <w:pStyle w:val="931"/>
        <w:ind w:left="0" w:firstLine="420"/>
        <w:keepLines w:val="0"/>
        <w:keepNext w:val="0"/>
        <w:pageBreakBefore w:val="0"/>
        <w:spacing w:line="500" w:lineRule="exact"/>
        <w:widowControl w:val="off"/>
        <w:rPr>
          <w:rFonts w:hint="eastAsia" w:hAnsi="宋体"/>
          <w:bCs/>
          <w:color w:val="auto"/>
          <w:sz w:val="21"/>
          <w:szCs w:val="22"/>
          <w:highlight w:val="none"/>
          <w:u w:val="single"/>
          <w:lang w:val="en-US"/>
        </w:rPr>
      </w:pPr>
      <w:r>
        <w:rPr>
          <w:rFonts w:hint="eastAsia" w:hAnsi="宋体"/>
          <w:bCs/>
          <w:color w:val="auto"/>
          <w:sz w:val="21"/>
          <w:szCs w:val="22"/>
          <w:highlight w:val="none"/>
          <w:u w:val="single"/>
          <w:lang w:val="en-US" w:eastAsia="zh-CN"/>
        </w:rPr>
        <w:t xml:space="preserve">本项目无需缴纳履约保证金</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7、转包或分包</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eastAsia="宋体" w:cs="Times New Roman"/>
          <w:bCs/>
          <w:color w:val="auto"/>
          <w:szCs w:val="21"/>
          <w:highlight w:val="none"/>
        </w:rPr>
        <w:t xml:space="preserve">7.1 乙方不得将合同标的转</w:t>
      </w:r>
      <w:r>
        <w:rPr>
          <w:rFonts w:hint="eastAsia" w:ascii="宋体" w:hAnsi="宋体"/>
          <w:bCs/>
          <w:color w:val="auto"/>
          <w:szCs w:val="21"/>
          <w:highlight w:val="none"/>
        </w:rPr>
        <w:t xml:space="preserve">包给他人履行。</w:t>
      </w:r>
      <w:r/>
    </w:p>
    <w:p>
      <w:pPr>
        <w:ind w:left="0" w:firstLine="420"/>
        <w:keepLines w:val="0"/>
        <w:keepNext w:val="0"/>
        <w:pageBreakBefore w:val="0"/>
        <w:spacing w:line="500" w:lineRule="exact"/>
        <w:widowControl w:val="off"/>
        <w:rPr>
          <w:rFonts w:ascii="宋体" w:hAnsi="宋体"/>
          <w:bCs/>
          <w:color w:val="auto"/>
          <w:szCs w:val="21"/>
          <w:highlight w:val="none"/>
        </w:rPr>
      </w:pPr>
      <w:r>
        <w:rPr>
          <w:rFonts w:hint="eastAsia" w:ascii="宋体" w:hAnsi="宋体"/>
          <w:bCs/>
          <w:color w:val="auto"/>
          <w:szCs w:val="21"/>
          <w:highlight w:val="none"/>
        </w:rPr>
        <w:t xml:space="preserve">7.2 </w:t>
      </w:r>
      <w:r>
        <w:rPr>
          <w:rFonts w:ascii="宋体" w:hAnsi="宋体" w:cs="宋体"/>
          <w:color w:val="000000"/>
          <w:sz w:val="24"/>
          <w:highlight w:val="none"/>
        </w:rPr>
        <w:t xml:space="preserve">乙方不得将合同标的分包给他人履行。</w:t>
      </w:r>
      <w:r/>
    </w:p>
    <w:p>
      <w:pPr>
        <w:ind w:left="0" w:firstLine="420"/>
        <w:keepLines w:val="0"/>
        <w:keepNext w:val="0"/>
        <w:pageBreakBefore w:val="0"/>
        <w:spacing w:line="500" w:lineRule="exact"/>
        <w:widowControl w:val="off"/>
        <w:rPr>
          <w:rFonts w:ascii="宋体" w:hAnsi="宋体"/>
          <w:bCs/>
          <w:color w:val="auto"/>
          <w:szCs w:val="21"/>
          <w:highlight w:val="none"/>
        </w:rPr>
      </w:pPr>
      <w:r>
        <w:rPr>
          <w:rFonts w:hint="eastAsia" w:ascii="宋体" w:hAnsi="宋体"/>
          <w:bCs/>
          <w:color w:val="auto"/>
          <w:szCs w:val="21"/>
          <w:highlight w:val="none"/>
        </w:rPr>
        <w:t xml:space="preserve">7.3</w:t>
      </w: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乙方如有转包或未经甲方同意的分包行为，甲方有权给予终止合同。</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rPr>
        <w:t xml:space="preserve">8、质保期</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8.1 质保期</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年。（自交货验收合格之日起计）</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lang w:val="en-US" w:eastAsia="zh-CN"/>
        </w:rPr>
        <w:t xml:space="preserve">9</w:t>
      </w:r>
      <w:r>
        <w:rPr>
          <w:rFonts w:hint="eastAsia" w:hAnsi="宋体"/>
          <w:b/>
          <w:bCs/>
          <w:color w:val="auto"/>
          <w:sz w:val="21"/>
          <w:highlight w:val="none"/>
        </w:rPr>
        <w:t xml:space="preserve">、货款支付</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ascii="宋体" w:hAnsi="宋体"/>
          <w:bCs/>
          <w:color w:val="auto"/>
          <w:szCs w:val="21"/>
          <w:highlight w:val="none"/>
        </w:rPr>
        <w:t xml:space="preserve">10.1 </w:t>
      </w:r>
      <w:r>
        <w:rPr>
          <w:rFonts w:hint="eastAsia" w:ascii="宋体" w:hAnsi="宋体"/>
          <w:bCs/>
          <w:color w:val="auto"/>
          <w:szCs w:val="21"/>
          <w:highlight w:val="none"/>
        </w:rPr>
        <w:t xml:space="preserve">本合同项下所有款项均以人民币支付。 </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10.2 本合同项下的采购资金由甲方支付，付款前乙方向甲方开具发票。</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10.3 甲方付款方式：</w:t>
      </w:r>
      <w:r/>
    </w:p>
    <w:p>
      <w:pPr>
        <w:numPr>
          <w:ilvl w:val="0"/>
          <w:numId w:val="0"/>
        </w:numPr>
        <w:ind w:left="0" w:firstLine="420"/>
        <w:keepLines w:val="0"/>
        <w:keepNext w:val="0"/>
        <w:pageBreakBefore w:val="0"/>
        <w:spacing w:line="500" w:lineRule="exact"/>
        <w:widowControl w:val="off"/>
        <w:rPr>
          <w:rFonts w:hint="eastAsia" w:ascii="宋体" w:hAnsi="宋体" w:eastAsia="宋体" w:cs="宋体"/>
          <w:color w:val="auto"/>
          <w:sz w:val="21"/>
          <w:szCs w:val="21"/>
          <w:highlight w:val="none"/>
          <w:u w:val="single"/>
          <w:lang w:val="en-US" w:eastAsia="zh-CN" w:bidi="ar-SA"/>
        </w:rPr>
      </w:pPr>
      <w:r>
        <w:rPr>
          <w:rFonts w:hint="eastAsia" w:ascii="宋体" w:hAnsi="宋体"/>
          <w:bCs/>
          <w:color w:val="auto"/>
          <w:szCs w:val="21"/>
          <w:highlight w:val="none"/>
          <w:u w:val="single"/>
        </w:rPr>
        <w:t xml:space="preserve">合同签订后，</w:t>
      </w:r>
      <w:r>
        <w:rPr>
          <w:rFonts w:hint="eastAsia" w:ascii="宋体" w:hAnsi="宋体"/>
          <w:bCs/>
          <w:color w:val="auto"/>
          <w:szCs w:val="21"/>
          <w:highlight w:val="none"/>
          <w:u w:val="single"/>
          <w:lang w:val="en-US" w:eastAsia="zh-CN"/>
        </w:rPr>
        <w:t xml:space="preserve">乙方向甲方开具发票，</w:t>
      </w:r>
      <w:r>
        <w:rPr>
          <w:rFonts w:hint="eastAsia" w:ascii="宋体" w:hAnsi="宋体"/>
          <w:bCs/>
          <w:color w:val="auto"/>
          <w:szCs w:val="21"/>
          <w:highlight w:val="none"/>
          <w:u w:val="single"/>
        </w:rPr>
        <w:t xml:space="preserve">甲方自收到发票之日起</w:t>
      </w:r>
      <w:r>
        <w:rPr>
          <w:rFonts w:hint="eastAsia" w:ascii="宋体" w:hAnsi="宋体"/>
          <w:bCs/>
          <w:color w:val="auto"/>
          <w:szCs w:val="21"/>
          <w:highlight w:val="none"/>
          <w:u w:val="single"/>
          <w:lang w:val="en-US" w:eastAsia="zh-CN"/>
        </w:rPr>
        <w:t xml:space="preserve">10个工作日内支</w:t>
      </w:r>
      <w:r>
        <w:rPr>
          <w:rFonts w:hint="eastAsia" w:ascii="宋体" w:hAnsi="宋体"/>
          <w:bCs/>
          <w:color w:val="auto"/>
          <w:szCs w:val="21"/>
          <w:highlight w:val="none"/>
          <w:u w:val="single"/>
        </w:rPr>
        <w:t xml:space="preserve">付合同价的30%为预付款</w:t>
      </w:r>
      <w:r>
        <w:rPr>
          <w:rFonts w:hint="eastAsia" w:ascii="宋体" w:hAnsi="宋体"/>
          <w:bCs/>
          <w:color w:val="auto"/>
          <w:szCs w:val="21"/>
          <w:highlight w:val="none"/>
          <w:u w:val="single"/>
          <w:lang w:eastAsia="zh-CN"/>
        </w:rPr>
        <w:t xml:space="preserve">；</w:t>
      </w:r>
      <w:r>
        <w:rPr>
          <w:rFonts w:hint="eastAsia" w:ascii="宋体" w:hAnsi="宋体" w:eastAsia="宋体" w:cs="Times New Roman"/>
          <w:bCs/>
          <w:color w:val="auto"/>
          <w:szCs w:val="21"/>
          <w:highlight w:val="none"/>
          <w:u w:val="single"/>
          <w:lang w:val="en-US" w:eastAsia="zh-CN"/>
        </w:rPr>
        <w:t xml:space="preserve">货物送达</w:t>
      </w:r>
      <w:r>
        <w:rPr>
          <w:rFonts w:hint="eastAsia" w:ascii="宋体" w:hAnsi="宋体" w:eastAsia="宋体" w:cs="宋体"/>
          <w:color w:val="auto"/>
          <w:sz w:val="21"/>
          <w:szCs w:val="21"/>
          <w:highlight w:val="none"/>
          <w:u w:val="single"/>
          <w:lang w:val="en-US" w:eastAsia="zh-CN" w:bidi="ar-SA"/>
        </w:rPr>
        <w:t xml:space="preserve">完成</w:t>
      </w:r>
      <w:r>
        <w:rPr>
          <w:rFonts w:hint="eastAsia" w:ascii="宋体" w:hAnsi="宋体" w:cs="宋体"/>
          <w:color w:val="auto"/>
          <w:sz w:val="21"/>
          <w:szCs w:val="21"/>
          <w:highlight w:val="none"/>
          <w:u w:val="single"/>
          <w:lang w:val="en-US" w:eastAsia="zh-CN" w:bidi="ar-SA"/>
        </w:rPr>
        <w:t xml:space="preserve">并</w:t>
      </w:r>
      <w:r>
        <w:rPr>
          <w:rFonts w:hint="eastAsia" w:ascii="宋体" w:hAnsi="宋体" w:eastAsia="宋体" w:cs="宋体"/>
          <w:color w:val="auto"/>
          <w:sz w:val="21"/>
          <w:szCs w:val="21"/>
          <w:highlight w:val="none"/>
          <w:u w:val="single"/>
          <w:lang w:val="en-US" w:eastAsia="zh-CN" w:bidi="ar-SA"/>
        </w:rPr>
        <w:t xml:space="preserve">经</w:t>
      </w:r>
      <w:r>
        <w:rPr>
          <w:rFonts w:hint="eastAsia" w:ascii="宋体" w:hAnsi="宋体" w:cs="宋体"/>
          <w:color w:val="auto"/>
          <w:sz w:val="21"/>
          <w:szCs w:val="21"/>
          <w:highlight w:val="none"/>
          <w:u w:val="single"/>
          <w:lang w:val="en-US" w:eastAsia="zh-CN" w:bidi="ar-SA"/>
        </w:rPr>
        <w:t xml:space="preserve">招标人</w:t>
      </w:r>
      <w:r>
        <w:rPr>
          <w:rFonts w:hint="eastAsia" w:ascii="宋体" w:hAnsi="宋体" w:eastAsia="宋体" w:cs="宋体"/>
          <w:color w:val="auto"/>
          <w:sz w:val="21"/>
          <w:szCs w:val="21"/>
          <w:highlight w:val="none"/>
          <w:u w:val="single"/>
          <w:lang w:val="en-US" w:eastAsia="zh-CN" w:bidi="ar-SA"/>
        </w:rPr>
        <w:t xml:space="preserve">验收合格后，</w:t>
      </w:r>
      <w:r>
        <w:rPr>
          <w:rFonts w:hint="eastAsia" w:ascii="宋体" w:hAnsi="宋体"/>
          <w:bCs/>
          <w:color w:val="auto"/>
          <w:szCs w:val="21"/>
          <w:highlight w:val="none"/>
          <w:u w:val="single"/>
          <w:lang w:val="en-US" w:eastAsia="zh-CN"/>
        </w:rPr>
        <w:t xml:space="preserve">乙方向甲方开具发票，</w:t>
      </w:r>
      <w:r>
        <w:rPr>
          <w:rFonts w:hint="eastAsia" w:ascii="宋体" w:hAnsi="宋体"/>
          <w:bCs/>
          <w:color w:val="auto"/>
          <w:szCs w:val="21"/>
          <w:highlight w:val="none"/>
          <w:u w:val="single"/>
        </w:rPr>
        <w:t xml:space="preserve">甲方自收到发票之日起15天内</w:t>
      </w:r>
      <w:r>
        <w:rPr>
          <w:rFonts w:hint="eastAsia" w:ascii="宋体" w:hAnsi="宋体"/>
          <w:bCs/>
          <w:color w:val="auto"/>
          <w:szCs w:val="21"/>
          <w:highlight w:val="none"/>
          <w:u w:val="single"/>
          <w:lang w:val="en-US" w:eastAsia="zh-CN"/>
        </w:rPr>
        <w:t xml:space="preserve">支</w:t>
      </w:r>
      <w:r>
        <w:rPr>
          <w:rFonts w:hint="eastAsia" w:ascii="宋体" w:hAnsi="宋体" w:eastAsia="宋体" w:cs="宋体"/>
          <w:color w:val="auto"/>
          <w:sz w:val="21"/>
          <w:szCs w:val="21"/>
          <w:highlight w:val="none"/>
          <w:u w:val="single"/>
          <w:lang w:val="en-US" w:eastAsia="zh-CN" w:bidi="ar-SA"/>
        </w:rPr>
        <w:t xml:space="preserve">付合同价的</w:t>
      </w:r>
      <w:r>
        <w:rPr>
          <w:rFonts w:hint="eastAsia" w:ascii="宋体" w:hAnsi="宋体" w:cs="宋体"/>
          <w:color w:val="auto"/>
          <w:sz w:val="21"/>
          <w:szCs w:val="21"/>
          <w:highlight w:val="none"/>
          <w:u w:val="single"/>
          <w:lang w:val="en-US" w:eastAsia="zh-CN" w:bidi="ar-SA"/>
        </w:rPr>
        <w:t xml:space="preserve">6</w:t>
      </w:r>
      <w:r>
        <w:rPr>
          <w:rFonts w:hint="eastAsia" w:ascii="宋体" w:hAnsi="宋体" w:eastAsia="宋体" w:cs="宋体"/>
          <w:color w:val="auto"/>
          <w:sz w:val="21"/>
          <w:szCs w:val="21"/>
          <w:highlight w:val="none"/>
          <w:u w:val="single"/>
          <w:lang w:val="en-US" w:eastAsia="zh-CN" w:bidi="ar-SA"/>
        </w:rPr>
        <w:t xml:space="preserve">0%</w:t>
      </w:r>
      <w:r>
        <w:rPr>
          <w:rFonts w:hint="eastAsia" w:ascii="宋体" w:hAnsi="宋体" w:cs="宋体"/>
          <w:color w:val="auto"/>
          <w:sz w:val="21"/>
          <w:szCs w:val="21"/>
          <w:highlight w:val="none"/>
          <w:u w:val="single"/>
          <w:lang w:val="en-US" w:eastAsia="zh-CN" w:bidi="ar-SA"/>
        </w:rPr>
        <w:t xml:space="preserve">；</w:t>
      </w:r>
      <w:r>
        <w:rPr>
          <w:rFonts w:hint="eastAsia" w:ascii="宋体" w:hAnsi="宋体" w:eastAsia="宋体" w:cs="Times New Roman"/>
          <w:bCs/>
          <w:color w:val="auto"/>
          <w:szCs w:val="21"/>
          <w:highlight w:val="none"/>
          <w:u w:val="single"/>
          <w:lang w:val="en-US" w:eastAsia="zh-CN"/>
        </w:rPr>
        <w:t xml:space="preserve">剩余10%一年后付清。</w:t>
      </w:r>
      <w:r/>
    </w:p>
    <w:p>
      <w:pPr>
        <w:pStyle w:val="931"/>
        <w:ind w:left="0" w:firstLine="422"/>
        <w:keepLines w:val="0"/>
        <w:keepNext w:val="0"/>
        <w:pageBreakBefore w:val="0"/>
        <w:spacing w:line="500" w:lineRule="exact"/>
        <w:widowControl w:val="off"/>
        <w:rPr>
          <w:rFonts w:hint="eastAsia" w:hAnsi="宋体"/>
          <w:b/>
          <w:bCs/>
          <w:color w:val="auto"/>
          <w:sz w:val="21"/>
          <w:highlight w:val="none"/>
        </w:rPr>
      </w:pPr>
      <w:r>
        <w:rPr>
          <w:rFonts w:hint="eastAsia" w:hAnsi="宋体"/>
          <w:b/>
          <w:bCs/>
          <w:color w:val="auto"/>
          <w:sz w:val="21"/>
          <w:highlight w:val="none"/>
          <w:lang w:val="en-US" w:eastAsia="zh-CN"/>
        </w:rPr>
        <w:t xml:space="preserve">10</w:t>
      </w:r>
      <w:r>
        <w:rPr>
          <w:rFonts w:hint="eastAsia" w:hAnsi="宋体"/>
          <w:b/>
          <w:bCs/>
          <w:color w:val="auto"/>
          <w:sz w:val="21"/>
          <w:highlight w:val="none"/>
        </w:rPr>
        <w:t xml:space="preserve">、税费</w:t>
      </w:r>
      <w:r/>
    </w:p>
    <w:p>
      <w:pPr>
        <w:ind w:left="0" w:firstLine="420"/>
        <w:keepLines w:val="0"/>
        <w:keepNext w:val="0"/>
        <w:pageBreakBefore w:val="0"/>
        <w:spacing w:line="500" w:lineRule="exact"/>
        <w:widowControl w:val="off"/>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10.1 </w:t>
      </w:r>
      <w:r>
        <w:rPr>
          <w:rFonts w:hint="eastAsia" w:ascii="宋体" w:hAnsi="宋体"/>
          <w:bCs/>
          <w:color w:val="auto"/>
          <w:szCs w:val="21"/>
          <w:highlight w:val="none"/>
        </w:rPr>
        <w:t xml:space="preserve">本合同执行中相关的一切税费均由乙方负担。</w:t>
      </w:r>
      <w:r/>
    </w:p>
    <w:p>
      <w:pPr>
        <w:pStyle w:val="931"/>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11</w:t>
      </w:r>
      <w:r>
        <w:rPr>
          <w:rFonts w:hint="eastAsia" w:ascii="宋体" w:hAnsi="宋体" w:eastAsia="宋体" w:cs="Times New Roman"/>
          <w:b/>
          <w:bCs/>
          <w:color w:val="auto"/>
          <w:sz w:val="21"/>
          <w:highlight w:val="none"/>
        </w:rPr>
        <w:t xml:space="preserve">、质量保修范围和保修期及售后服务</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11.1 乙方应按招标文件规定的货物性能、技术要求、质量标准向甲方提供未经使用的全新产品。</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11.2 乙方提供的货物在质量期内因货物本身的质量问题发生故障，乙方应负责免费更换。对达不到技术要求者，根据实际情况，经双方协商，可按以下办法处理：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⑴更换：由乙方承担所发生的全部费用。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⑵贬值处理：由甲乙双方合议定价。</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⑶退货处理：乙方应退还甲方支付的合同款，同时应承担该货物的直接费用（运输、保险、检验、货款利息及银行手续费等）。</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11.3 如在使用过程中发生质量问题，乙方在接到甲方通知后在____小时内到达甲方现场。</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11.4 在质保期内，乙方应对货物出现的质量及安全问题负责处理解决并承担一切费用。</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11.5上述的货物免费保修期为</w:t>
      </w:r>
      <w:r>
        <w:rPr>
          <w:rFonts w:hint="eastAsia" w:ascii="宋体" w:hAnsi="宋体" w:eastAsia="宋体" w:cs="Times New Roman"/>
          <w:bCs/>
          <w:color w:val="auto"/>
          <w:szCs w:val="21"/>
          <w:highlight w:val="none"/>
          <w:u w:val="single"/>
          <w:lang w:val="en-US" w:eastAsia="zh-CN"/>
        </w:rPr>
        <w:t xml:space="preserve">      </w:t>
      </w:r>
      <w:r>
        <w:rPr>
          <w:rFonts w:hint="eastAsia" w:ascii="宋体" w:hAnsi="宋体" w:eastAsia="宋体" w:cs="Times New Roman"/>
          <w:bCs/>
          <w:color w:val="auto"/>
          <w:szCs w:val="21"/>
          <w:highlight w:val="none"/>
          <w:lang w:val="en-US" w:eastAsia="zh-CN"/>
        </w:rPr>
        <w:t xml:space="preserve">年（自交货验收合格之日起计），因人为因素出现的故障不在免费保修范围内。超过保修期的机器设备，终生维修，维修时只收部件成本费。</w:t>
      </w:r>
      <w:r/>
    </w:p>
    <w:p>
      <w:pPr>
        <w:pStyle w:val="931"/>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12</w:t>
      </w:r>
      <w:r>
        <w:rPr>
          <w:rFonts w:hint="eastAsia" w:ascii="宋体" w:hAnsi="宋体" w:eastAsia="宋体" w:cs="Times New Roman"/>
          <w:b/>
          <w:bCs/>
          <w:color w:val="auto"/>
          <w:sz w:val="21"/>
          <w:highlight w:val="none"/>
        </w:rPr>
        <w:t xml:space="preserve">、项目验收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12.1 甲方依法组织履约验收工作。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12.3 对于实际使用人和甲方分离的项目，甲方邀请实际使用人参与验收。</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12.4 如有必要，甲方邀请参加本项目的其他供应商或第三方专业机构及专家参与验收，相关意见将作为验收书的参考资料。</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31"/>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13</w:t>
      </w:r>
      <w:r>
        <w:rPr>
          <w:rFonts w:hint="eastAsia" w:ascii="宋体" w:hAnsi="宋体" w:eastAsia="宋体" w:cs="Times New Roman"/>
          <w:b/>
          <w:bCs/>
          <w:color w:val="auto"/>
          <w:sz w:val="21"/>
          <w:highlight w:val="none"/>
        </w:rPr>
        <w:t xml:space="preserve">、货物的包装、发运及运输</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13.1 乙方应在货物发运前对其进行满足运输距离、防潮、防震、防锈和防破损装卸等要求包装，以保证货物安全运达甲方指定地点。</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13.2 使用说明书、质量检验证明书、随配附件和工具以及清单一并附于货物内。</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13.3 乙方在货物发运手续办理完毕后24小时内或货到甲方48小时前通知甲方，以准备接货。</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13.4 货物在交付甲方前发生的风险均由乙方负责。</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13.5 货物在规定的交付期限内由乙方送达甲方指定的地点视为交付，乙方同时需通知甲方货物已送达。</w:t>
      </w:r>
      <w:r/>
    </w:p>
    <w:p>
      <w:pPr>
        <w:pStyle w:val="931"/>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lang w:val="en-US" w:eastAsia="zh-CN"/>
        </w:rPr>
        <w:t xml:space="preserve">14</w:t>
      </w:r>
      <w:r>
        <w:rPr>
          <w:rFonts w:hint="eastAsia" w:ascii="宋体" w:hAnsi="宋体" w:eastAsia="宋体" w:cs="Times New Roman"/>
          <w:b/>
          <w:bCs/>
          <w:color w:val="auto"/>
          <w:sz w:val="21"/>
          <w:highlight w:val="none"/>
        </w:rPr>
        <w:t xml:space="preserve">、违约责任</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14.1 甲方无正当理由拒收货物的，甲方向乙方偿付拒收货款总值</w:t>
      </w:r>
      <w:r>
        <w:rPr>
          <w:rFonts w:hint="eastAsia" w:ascii="宋体" w:hAnsi="宋体" w:eastAsia="宋体" w:cs="Times New Roman"/>
          <w:bCs/>
          <w:color w:val="auto"/>
          <w:szCs w:val="21"/>
          <w:highlight w:val="none"/>
          <w:u w:val="single"/>
          <w:lang w:val="en-US" w:eastAsia="zh-CN"/>
        </w:rPr>
        <w:t xml:space="preserve">百分之五</w:t>
      </w:r>
      <w:r>
        <w:rPr>
          <w:rFonts w:hint="eastAsia" w:ascii="宋体" w:hAnsi="宋体" w:eastAsia="宋体" w:cs="Times New Roman"/>
          <w:bCs/>
          <w:color w:val="auto"/>
          <w:szCs w:val="21"/>
          <w:highlight w:val="none"/>
          <w:lang w:val="en-US" w:eastAsia="zh-CN"/>
        </w:rPr>
        <w:t xml:space="preserve">的违约金。</w:t>
      </w:r>
      <w:r/>
    </w:p>
    <w:p>
      <w:pPr>
        <w:ind w:left="0" w:firstLine="420"/>
        <w:jc w:val="left"/>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14.2 甲方无故逾期验收和办理货款支付手续的,甲方应按逾期付款总额每日</w:t>
      </w:r>
      <w:r>
        <w:rPr>
          <w:rFonts w:hint="eastAsia" w:ascii="宋体" w:hAnsi="宋体" w:eastAsia="宋体" w:cs="Times New Roman"/>
          <w:bCs/>
          <w:color w:val="auto"/>
          <w:szCs w:val="21"/>
          <w:highlight w:val="none"/>
          <w:u w:val="single"/>
          <w:lang w:val="en-US" w:eastAsia="zh-CN"/>
        </w:rPr>
        <w:t xml:space="preserve">万分之五</w:t>
      </w:r>
      <w:r>
        <w:rPr>
          <w:rFonts w:hint="eastAsia" w:ascii="宋体" w:hAnsi="宋体" w:eastAsia="宋体" w:cs="Times New Roman"/>
          <w:bCs/>
          <w:color w:val="auto"/>
          <w:szCs w:val="21"/>
          <w:highlight w:val="none"/>
          <w:lang w:val="en-US" w:eastAsia="zh-CN"/>
        </w:rPr>
        <w:t xml:space="preserve">向乙方支付违约金。</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14.3 乙方逾期交付货物的，乙方应按逾期交货总额每日</w:t>
      </w:r>
      <w:r>
        <w:rPr>
          <w:rFonts w:hint="eastAsia" w:ascii="宋体" w:hAnsi="宋体" w:eastAsia="宋体" w:cs="Times New Roman"/>
          <w:bCs/>
          <w:color w:val="auto"/>
          <w:szCs w:val="21"/>
          <w:highlight w:val="none"/>
          <w:u w:val="single"/>
          <w:lang w:val="en-US" w:eastAsia="zh-CN"/>
        </w:rPr>
        <w:t xml:space="preserve"> 千分之六 </w:t>
      </w:r>
      <w:r>
        <w:rPr>
          <w:rFonts w:hint="eastAsia" w:ascii="宋体" w:hAnsi="宋体" w:eastAsia="宋体" w:cs="Times New Roman"/>
          <w:bCs/>
          <w:color w:val="auto"/>
          <w:szCs w:val="21"/>
          <w:highlight w:val="none"/>
          <w:lang w:val="en-US" w:eastAsia="zh-CN"/>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Times New Roman"/>
          <w:bCs/>
          <w:color w:val="auto"/>
          <w:szCs w:val="21"/>
          <w:highlight w:val="none"/>
          <w:u w:val="single"/>
          <w:lang w:val="en-US" w:eastAsia="zh-CN"/>
        </w:rPr>
        <w:t xml:space="preserve">5% </w:t>
      </w:r>
      <w:r>
        <w:rPr>
          <w:rFonts w:hint="eastAsia" w:ascii="宋体" w:hAnsi="宋体" w:eastAsia="宋体" w:cs="Times New Roman"/>
          <w:bCs/>
          <w:color w:val="auto"/>
          <w:szCs w:val="21"/>
          <w:highlight w:val="none"/>
          <w:lang w:val="en-US" w:eastAsia="zh-CN"/>
        </w:rPr>
        <w:t xml:space="preserve">的违约金，如造成甲方损失超过违约金的，超出部分由乙方继续承担赔偿责任。 </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31"/>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15、不可抗力事件处理</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15.1 在合同有效期内，任何一方因不可抗力事件导致不能履行合同，则合同履行期可延长，其延长期与不可抗力影响期相同。</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15.2 不可抗力事件发生后，应立即通知对方，并寄送有关权威机构出具的证明。</w:t>
      </w:r>
      <w:r/>
    </w:p>
    <w:p>
      <w:pPr>
        <w:ind w:left="0" w:firstLine="420"/>
        <w:keepLines w:val="0"/>
        <w:keepNext w:val="0"/>
        <w:pageBreakBefore w:val="0"/>
        <w:spacing w:line="500" w:lineRule="exact"/>
        <w:widowControl w:val="off"/>
        <w:rPr>
          <w:highlight w:val="none"/>
        </w:rPr>
      </w:pPr>
      <w:r>
        <w:rPr>
          <w:rFonts w:hint="eastAsia" w:ascii="宋体" w:hAnsi="宋体" w:eastAsia="宋体" w:cs="Times New Roman"/>
          <w:bCs/>
          <w:color w:val="auto"/>
          <w:szCs w:val="21"/>
          <w:highlight w:val="none"/>
          <w:lang w:val="en-US" w:eastAsia="zh-CN"/>
        </w:rPr>
        <w:t xml:space="preserve">15.3 不可抗力事件延续120天以上，双方应通过友好协商，确定是否继续履行合同。</w:t>
      </w:r>
      <w:r/>
    </w:p>
    <w:p>
      <w:pPr>
        <w:pStyle w:val="931"/>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ascii="宋体" w:hAnsi="宋体" w:eastAsia="宋体" w:cs="Times New Roman"/>
          <w:b/>
          <w:bCs/>
          <w:color w:val="auto"/>
          <w:sz w:val="21"/>
          <w:highlight w:val="none"/>
          <w:lang w:val="en-US" w:eastAsia="zh-CN"/>
        </w:rPr>
        <w:t xml:space="preserve">16、解决争议的方法</w:t>
      </w:r>
      <w:r/>
    </w:p>
    <w:p>
      <w:pPr>
        <w:ind w:left="0" w:firstLine="420"/>
        <w:keepLines w:val="0"/>
        <w:keepNext w:val="0"/>
        <w:pageBreakBefore w:val="0"/>
        <w:spacing w:line="500" w:lineRule="exact"/>
        <w:widowControl w:val="off"/>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16.1甲乙双方因合同签订、履行而发生的一切争议，应通过友好协商解决。如协商不成由甲方住所地人民法院管辖。</w:t>
      </w:r>
      <w:r/>
    </w:p>
    <w:p>
      <w:pPr>
        <w:pStyle w:val="931"/>
        <w:ind w:left="0" w:firstLine="422"/>
        <w:keepLines w:val="0"/>
        <w:keepNext w:val="0"/>
        <w:pageBreakBefore w:val="0"/>
        <w:spacing w:line="500" w:lineRule="exact"/>
        <w:widowControl w:val="off"/>
        <w:rPr>
          <w:rFonts w:hint="eastAsia" w:ascii="宋体" w:hAnsi="宋体" w:eastAsia="宋体" w:cs="Times New Roman"/>
          <w:b/>
          <w:bCs/>
          <w:color w:val="auto"/>
          <w:sz w:val="21"/>
          <w:highlight w:val="none"/>
          <w:lang w:val="en-US" w:eastAsia="zh-CN"/>
        </w:rPr>
      </w:pPr>
      <w:r>
        <w:rPr>
          <w:rFonts w:hint="eastAsia" w:hAnsi="宋体" w:cs="Times New Roman"/>
          <w:b/>
          <w:bCs/>
          <w:color w:val="auto"/>
          <w:sz w:val="21"/>
          <w:highlight w:val="none"/>
          <w:lang w:val="en-US" w:eastAsia="zh-CN"/>
        </w:rPr>
        <w:t xml:space="preserve">17</w:t>
      </w:r>
      <w:r>
        <w:rPr>
          <w:rFonts w:hint="eastAsia" w:ascii="宋体" w:hAnsi="宋体" w:eastAsia="宋体" w:cs="Times New Roman"/>
          <w:b/>
          <w:bCs/>
          <w:color w:val="auto"/>
          <w:sz w:val="21"/>
          <w:highlight w:val="none"/>
          <w:lang w:val="en-US" w:eastAsia="zh-CN"/>
        </w:rPr>
        <w:t xml:space="preserve">、合同生效及其它</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.1 合同经双方法定代表人签章并加盖单位公章，并经扬州博远工程咨询有限公司见证盖章后生效。</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.2本合同未尽事宜，遵照《民法典》有关条文执行。</w:t>
      </w:r>
      <w:r/>
    </w:p>
    <w:p>
      <w:pPr>
        <w:ind w:left="0" w:firstLine="420"/>
        <w:keepLines w:val="0"/>
        <w:keepNext w:val="0"/>
        <w:pageBreakBefore w:val="0"/>
        <w:spacing w:line="50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.3 本合同正本一式陆份，具有同等法律效力，甲方、乙方各执贰份，见证方及财政监管部门（仪征市财政局政府采购与部门资产管理科）各执壹份。  </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tbl>
      <w:tblPr>
        <w:tblStyle w:val="923"/>
        <w:tblpPr w:horzAnchor="page" w:tblpX="1866" w:vertAnchor="text" w:tblpY="42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before="120" w:after="120" w:line="360" w:lineRule="auto"/>
              <w:rPr>
                <w:rFonts w:hint="eastAsia" w:ascii="宋体" w:hAnsi="宋体" w:eastAsia="宋体" w:cs="Times New Roman"/>
                <w:color w:val="auto"/>
                <w:sz w:val="21"/>
                <w:highlight w:val="none"/>
                <w:lang w:eastAsia="zh-CN"/>
              </w:rPr>
            </w:pPr>
            <w:r>
              <w:rPr>
                <w:rFonts w:hint="eastAsia" w:ascii="宋体" w:hAnsi="宋体" w:eastAsia="宋体" w:cs="Times New Roman"/>
                <w:color w:val="auto"/>
                <w:sz w:val="21"/>
                <w:highlight w:val="none"/>
              </w:rPr>
              <w:t xml:space="preserve">甲方：</w:t>
            </w:r>
            <w:r>
              <w:rPr>
                <w:rFonts w:hint="eastAsia" w:hAnsi="宋体" w:cs="Times New Roman"/>
                <w:color w:val="auto"/>
                <w:sz w:val="21"/>
                <w:highlight w:val="none"/>
                <w:lang w:eastAsia="zh-CN"/>
              </w:rPr>
              <w:t xml:space="preserve">仪征市应急管理局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1"/>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1"/>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w:t>
            </w:r>
            <w:r/>
          </w:p>
        </w:tc>
      </w:tr>
    </w:tbl>
    <w:p>
      <w:pPr>
        <w:pStyle w:val="931"/>
        <w:ind w:firstLine="420"/>
        <w:spacing w:before="120" w:after="120" w:line="360" w:lineRule="auto"/>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 </w:t>
      </w:r>
      <w:r/>
    </w:p>
    <w:p>
      <w:pPr>
        <w:pStyle w:val="931"/>
        <w:ind w:firstLine="0"/>
        <w:keepLines w:val="0"/>
        <w:keepNext w:val="0"/>
        <w:pageBreakBefore w:val="0"/>
        <w:spacing w:before="120" w:after="120" w:line="360" w:lineRule="auto"/>
        <w:widowControl w:val="off"/>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pStyle w:val="931"/>
        <w:ind w:firstLine="0"/>
        <w:keepLines w:val="0"/>
        <w:keepNext w:val="0"/>
        <w:pageBreakBefore w:val="0"/>
        <w:spacing w:before="120" w:after="120" w:line="360" w:lineRule="auto"/>
        <w:widowControl w:val="off"/>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见证方：扬州博远工程咨询有限公司</w:t>
      </w:r>
      <w:r/>
    </w:p>
    <w:p>
      <w:pPr>
        <w:pStyle w:val="931"/>
        <w:ind w:firstLine="0"/>
        <w:keepLines w:val="0"/>
        <w:keepNext w:val="0"/>
        <w:pageBreakBefore w:val="0"/>
        <w:spacing w:before="120" w:after="120" w:line="360" w:lineRule="auto"/>
        <w:widowControl w:val="off"/>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日期：     年   月   日</w:t>
      </w:r>
      <w:r/>
    </w:p>
    <w:p>
      <w:pPr>
        <w:pStyle w:val="920"/>
        <w:numPr>
          <w:ilvl w:val="0"/>
          <w:numId w:val="3"/>
        </w:numPr>
        <w:jc w:val="center"/>
        <w:rPr>
          <w:rFonts w:hint="eastAsia"/>
          <w:b/>
          <w:bCs w:val="0"/>
          <w:color w:val="auto"/>
          <w:sz w:val="36"/>
          <w:szCs w:val="24"/>
          <w:highlight w:val="none"/>
        </w:rPr>
      </w:pPr>
      <w:r/>
      <w:bookmarkStart w:id="55" w:name="_Toc32147"/>
      <w:r/>
      <w:bookmarkStart w:id="56" w:name="_Toc512692550"/>
      <w:r>
        <w:rPr>
          <w:rFonts w:hint="eastAsia"/>
          <w:b/>
          <w:bCs w:val="0"/>
          <w:color w:val="auto"/>
          <w:sz w:val="36"/>
          <w:szCs w:val="24"/>
          <w:highlight w:val="none"/>
          <w:lang w:val="en-US" w:eastAsia="zh-CN"/>
        </w:rPr>
        <w:t xml:space="preserve">采购</w:t>
      </w:r>
      <w:r>
        <w:rPr>
          <w:rFonts w:hint="eastAsia"/>
          <w:b/>
          <w:bCs w:val="0"/>
          <w:color w:val="auto"/>
          <w:sz w:val="36"/>
          <w:szCs w:val="24"/>
          <w:highlight w:val="none"/>
        </w:rPr>
        <w:t xml:space="preserve">需求</w:t>
      </w:r>
      <w:r/>
    </w:p>
    <w:p>
      <w:pPr>
        <w:spacing w:line="360" w:lineRule="auto"/>
        <w:rPr>
          <w:rFonts w:hint="eastAsia"/>
          <w:color w:val="auto"/>
          <w:highlight w:val="none"/>
        </w:rPr>
      </w:pPr>
      <w:r>
        <w:rPr>
          <w:rFonts w:hint="eastAsia"/>
          <w:b/>
          <w:bCs/>
          <w:color w:val="auto"/>
          <w:highlight w:val="none"/>
        </w:rPr>
        <w:t xml:space="preserve">项目属性:货物类项目</w:t>
      </w:r>
      <w:r/>
    </w:p>
    <w:p>
      <w:pPr>
        <w:ind w:firstLine="420"/>
        <w:spacing w:line="360" w:lineRule="auto"/>
        <w:rPr>
          <w:rFonts w:hint="eastAsia"/>
          <w:color w:val="auto"/>
          <w:highlight w:val="none"/>
        </w:rPr>
      </w:pPr>
      <w:r>
        <w:rPr>
          <w:rFonts w:hint="eastAsia"/>
          <w:color w:val="auto"/>
          <w:highlight w:val="none"/>
        </w:rPr>
        <w:t xml:space="preserve">严格执行政府采购关于支持</w:t>
      </w:r>
      <w:r>
        <w:rPr>
          <w:rFonts w:hint="eastAsia"/>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color w:val="auto"/>
          <w:highlight w:val="none"/>
        </w:rPr>
      </w:pPr>
      <w:r>
        <w:rPr>
          <w:rFonts w:hint="eastAsia"/>
          <w:color w:val="auto"/>
          <w:highlight w:val="none"/>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ascii="Times New Roman" w:hAnsi="Times New Roman" w:eastAsia="宋体" w:cs="Times New Roman"/>
          <w:b/>
          <w:bCs/>
          <w:color w:val="auto"/>
          <w:highlight w:val="none"/>
        </w:rPr>
      </w:pPr>
      <w:r>
        <w:rPr>
          <w:rFonts w:hint="eastAsia" w:ascii="Times New Roman" w:hAnsi="Times New Roman" w:eastAsia="宋体" w:cs="Times New Roman"/>
          <w:b/>
          <w:bCs/>
          <w:color w:val="auto"/>
          <w:highlight w:val="none"/>
        </w:rPr>
      </w:r>
      <w:r/>
    </w:p>
    <w:p>
      <w:pPr>
        <w:spacing w:line="360" w:lineRule="auto"/>
        <w:rPr>
          <w:rFonts w:hint="eastAsia" w:cs="Times New Roman"/>
          <w:b/>
          <w:bCs/>
          <w:color w:val="auto"/>
          <w:highlight w:val="none"/>
          <w:lang w:val="en-US" w:eastAsia="zh-CN"/>
        </w:rPr>
      </w:pPr>
      <w:r>
        <w:rPr>
          <w:rFonts w:hint="eastAsia" w:ascii="Times New Roman" w:hAnsi="Times New Roman" w:eastAsia="宋体" w:cs="Times New Roman"/>
          <w:b/>
          <w:bCs/>
          <w:color w:val="auto"/>
          <w:highlight w:val="none"/>
        </w:rPr>
        <w:t xml:space="preserve">本项目核心产品：</w:t>
      </w:r>
      <w:r>
        <w:rPr>
          <w:rFonts w:hint="eastAsia" w:cs="Times New Roman"/>
          <w:b/>
          <w:bCs/>
          <w:color w:val="auto"/>
          <w:highlight w:val="none"/>
          <w:lang w:val="en-US" w:eastAsia="zh-CN"/>
        </w:rPr>
        <w:t xml:space="preserve"> 低压电工K32低压开关柜实操考核设备</w:t>
      </w:r>
      <w:r/>
    </w:p>
    <w:p>
      <w:pPr>
        <w:ind w:firstLine="420"/>
        <w:jc w:val="left"/>
        <w:spacing w:line="360" w:lineRule="auto"/>
        <w:rPr>
          <w:rFonts w:ascii="宋体" w:hAnsi="宋体"/>
          <w:b/>
          <w:szCs w:val="21"/>
          <w:highlight w:val="none"/>
        </w:rPr>
      </w:pPr>
      <w:r>
        <w:rPr>
          <w:rFonts w:hint="eastAsia" w:ascii="宋体" w:hAnsi="宋体"/>
          <w:b/>
          <w:szCs w:val="21"/>
          <w:highlight w:val="none"/>
        </w:rPr>
        <w:t xml:space="preserve">1、项目概况</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根据应急管理部《安全生产考试机构和考试点管理规定》（应急〔2025〕41号）要求低压电工、焊接与热切割、高处作业等特种作业安全技术考试，须全部采用实物设备，“安全用具使用”“作业现场隐患排查”和“安全操作技术”等考场须进行实景化设置，所有考试设备、AI智能考核评分系统均需与省厅、应急部安全生产考试系统对接。同时，还要结合即将调整的特种作业操作目录，统筹考虑考试点规范化建设。</w:t>
      </w:r>
      <w:r/>
    </w:p>
    <w:p>
      <w:pPr>
        <w:ind w:firstLine="420"/>
        <w:jc w:val="left"/>
        <w:spacing w:line="360" w:lineRule="auto"/>
        <w:rPr>
          <w:rFonts w:ascii="宋体" w:hAnsi="宋体" w:cs="宋体"/>
          <w:b/>
          <w:szCs w:val="21"/>
          <w:highlight w:val="none"/>
        </w:rPr>
      </w:pPr>
      <w:r>
        <w:rPr>
          <w:rFonts w:hint="eastAsia" w:ascii="宋体" w:hAnsi="宋体" w:cs="宋体"/>
          <w:b/>
          <w:szCs w:val="21"/>
          <w:highlight w:val="none"/>
        </w:rPr>
        <w:t xml:space="preserve">2、服务要求</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2.1鉴于本次采购项目涉及特种作业考试设备，为确保所购设备与招标文件中规定的技术参数完全一致，中标结果公告发布后的</w:t>
      </w:r>
      <w:r>
        <w:rPr>
          <w:rFonts w:hint="eastAsia" w:ascii="宋体" w:hAnsi="宋体"/>
          <w:bCs/>
          <w:szCs w:val="21"/>
          <w:highlight w:val="none"/>
          <w:lang w:val="en-US" w:eastAsia="zh-CN"/>
        </w:rPr>
        <w:t xml:space="preserve">7</w:t>
      </w:r>
      <w:r>
        <w:rPr>
          <w:rFonts w:hint="eastAsia" w:ascii="宋体" w:hAnsi="宋体"/>
          <w:bCs/>
          <w:szCs w:val="21"/>
          <w:highlight w:val="none"/>
        </w:rPr>
        <w:t xml:space="preserve">日内，中标供应商须将符合技术参数要求的设备样品（中标后由采购方指定的部分设备）送至采购方现场进行功能验证。若供应商无法提供设备样品，或所提供设备样品不符合技术参数要求，均将被视为虚假应标行为，采购方将依法追究中标供应商的相关法律责任。</w:t>
      </w:r>
      <w:r/>
    </w:p>
    <w:p>
      <w:pPr>
        <w:ind w:firstLine="420"/>
        <w:jc w:val="left"/>
        <w:spacing w:line="360" w:lineRule="auto"/>
        <w:rPr>
          <w:rFonts w:hint="eastAsia" w:ascii="宋体" w:hAnsi="宋体"/>
          <w:bCs/>
          <w:szCs w:val="21"/>
          <w:highlight w:val="none"/>
        </w:rPr>
      </w:pPr>
      <w:r>
        <w:rPr>
          <w:rFonts w:hint="eastAsia" w:ascii="宋体" w:hAnsi="宋体"/>
          <w:bCs/>
          <w:szCs w:val="21"/>
          <w:highlight w:val="none"/>
        </w:rPr>
        <w:t xml:space="preserve">2.2合同履行期限：</w:t>
      </w:r>
      <w:r>
        <w:rPr>
          <w:rFonts w:hint="eastAsia" w:ascii="宋体" w:hAnsi="宋体"/>
          <w:b/>
          <w:bCs/>
          <w:color w:val="auto"/>
          <w:highlight w:val="none"/>
          <w:lang w:val="en-US" w:eastAsia="zh-CN"/>
        </w:rPr>
        <w:t xml:space="preserve">合同签订之日起</w:t>
      </w:r>
      <w:r>
        <w:rPr>
          <w:rFonts w:hint="eastAsia" w:ascii="宋体" w:hAnsi="宋体" w:cs="宋体"/>
          <w:b/>
          <w:bCs/>
          <w:szCs w:val="21"/>
          <w:highlight w:val="none"/>
          <w:lang w:val="en-US" w:eastAsia="zh-CN"/>
        </w:rPr>
        <w:t xml:space="preserve">60天</w:t>
      </w:r>
      <w:r>
        <w:rPr>
          <w:rFonts w:hint="eastAsia" w:ascii="宋体" w:hAnsi="宋体" w:cs="宋体"/>
          <w:b/>
          <w:bCs/>
          <w:szCs w:val="21"/>
          <w:highlight w:val="none"/>
        </w:rPr>
        <w:t xml:space="preserve">内安装调试完成</w:t>
      </w:r>
      <w:r/>
    </w:p>
    <w:p>
      <w:pPr>
        <w:ind w:firstLine="420"/>
        <w:jc w:val="left"/>
        <w:spacing w:line="360" w:lineRule="auto"/>
        <w:rPr>
          <w:rFonts w:hint="eastAsia" w:ascii="宋体" w:hAnsi="宋体" w:cs="宋体"/>
          <w:b/>
          <w:szCs w:val="21"/>
          <w:highlight w:val="none"/>
        </w:rPr>
      </w:pPr>
      <w:r>
        <w:rPr>
          <w:rFonts w:hint="eastAsia" w:ascii="宋体" w:hAnsi="宋体"/>
          <w:bCs/>
          <w:szCs w:val="21"/>
          <w:highlight w:val="none"/>
        </w:rPr>
        <w:t xml:space="preserve">2.3本次采购的设备需与原有设备软件系统相兼容，若中标后，采购设备无法与原有设备兼容采购方将依法追究中标供应商的相关法律责任。</w:t>
      </w:r>
      <w:r/>
    </w:p>
    <w:p>
      <w:pPr>
        <w:ind w:firstLine="420"/>
        <w:jc w:val="left"/>
        <w:spacing w:line="360" w:lineRule="auto"/>
        <w:rPr>
          <w:rFonts w:hint="eastAsia" w:ascii="宋体" w:hAnsi="宋体" w:cs="宋体"/>
          <w:b/>
          <w:szCs w:val="21"/>
          <w:highlight w:val="none"/>
        </w:rPr>
      </w:pPr>
      <w:r>
        <w:rPr>
          <w:rFonts w:hint="eastAsia" w:ascii="宋体" w:hAnsi="宋体" w:cs="宋体"/>
          <w:b/>
          <w:szCs w:val="21"/>
          <w:highlight w:val="none"/>
        </w:rPr>
      </w:r>
      <w:r/>
    </w:p>
    <w:p>
      <w:pPr>
        <w:ind w:firstLine="420"/>
        <w:jc w:val="left"/>
        <w:spacing w:line="360" w:lineRule="auto"/>
        <w:rPr>
          <w:rFonts w:hint="eastAsia" w:ascii="宋体" w:hAnsi="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Cs w:val="21"/>
          <w:highlight w:val="none"/>
        </w:rPr>
      </w:r>
      <w:r/>
    </w:p>
    <w:p>
      <w:pPr>
        <w:ind w:firstLine="420"/>
        <w:jc w:val="left"/>
        <w:spacing w:line="360" w:lineRule="auto"/>
        <w:rPr>
          <w:rFonts w:ascii="宋体" w:hAnsi="宋体" w:cs="宋体"/>
          <w:b/>
          <w:szCs w:val="21"/>
          <w:highlight w:val="none"/>
        </w:rPr>
      </w:pPr>
      <w:r>
        <w:rPr>
          <w:rFonts w:hint="eastAsia" w:ascii="宋体" w:hAnsi="宋体" w:cs="宋体"/>
          <w:b/>
          <w:szCs w:val="21"/>
          <w:highlight w:val="none"/>
        </w:rPr>
        <w:t xml:space="preserve">3、采购清单</w:t>
      </w:r>
      <w:r/>
    </w:p>
    <w:tbl>
      <w:tblPr>
        <w:tblStyle w:val="92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57"/>
        <w:gridCol w:w="2524"/>
        <w:gridCol w:w="1556"/>
        <w:gridCol w:w="5416"/>
        <w:gridCol w:w="1556"/>
        <w:gridCol w:w="1557"/>
      </w:tblGrid>
      <w:tr>
        <w:trPr>
          <w:trHeight w:val="570"/>
        </w:trPr>
        <w:tc>
          <w:tcPr>
            <w:gridSpan w:val="2"/>
            <w:shd w:val="clear" w:color="auto" w:fill="auto"/>
            <w:tcW w:w="4082" w:type="dxa"/>
            <w:vAlign w:val="center"/>
            <w:textDirection w:val="lrTb"/>
            <w:noWrap w:val="false"/>
          </w:tcPr>
          <w:p>
            <w:pPr>
              <w:jc w:val="center"/>
              <w:keepLines w:val="0"/>
              <w:keepNext w:val="0"/>
              <w:widowControl/>
              <w:rPr>
                <w:rFonts w:hint="eastAsia" w:asciiTheme="majorEastAsia" w:hAnsiTheme="majorEastAsia" w:eastAsiaTheme="majorEastAsia" w:cstheme="majorEastAsia"/>
                <w:b/>
                <w:bCs/>
                <w:i w:val="0"/>
                <w:iCs w:val="0"/>
                <w:color w:val="000000"/>
                <w:sz w:val="21"/>
                <w:szCs w:val="21"/>
                <w:highlight w:val="none"/>
                <w:u w:val="none"/>
              </w:rPr>
              <w:suppressLineNumbers w:val="0"/>
            </w:pPr>
            <w:r>
              <w:rPr>
                <w:rFonts w:hint="eastAsia" w:asciiTheme="majorEastAsia" w:hAnsiTheme="majorEastAsia" w:eastAsiaTheme="majorEastAsia" w:cstheme="majorEastAsia"/>
                <w:b/>
                <w:bCs/>
                <w:i w:val="0"/>
                <w:iCs w:val="0"/>
                <w:color w:val="000000"/>
                <w:sz w:val="21"/>
                <w:szCs w:val="21"/>
                <w:highlight w:val="none"/>
                <w:u w:val="none"/>
                <w:lang w:val="en-US" w:eastAsia="zh-CN" w:bidi="ar"/>
              </w:rPr>
              <w:t xml:space="preserve">大类</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b/>
                <w:bCs/>
                <w:i w:val="0"/>
                <w:iCs w:val="0"/>
                <w:color w:val="000000"/>
                <w:sz w:val="21"/>
                <w:szCs w:val="21"/>
                <w:highlight w:val="none"/>
                <w:u w:val="none"/>
              </w:rPr>
              <w:suppressLineNumbers w:val="0"/>
            </w:pPr>
            <w:r>
              <w:rPr>
                <w:rFonts w:hint="eastAsia" w:asciiTheme="majorEastAsia" w:hAnsiTheme="majorEastAsia" w:eastAsiaTheme="majorEastAsia" w:cstheme="majorEastAsia"/>
                <w:b/>
                <w:bCs/>
                <w:i w:val="0"/>
                <w:iCs w:val="0"/>
                <w:color w:val="000000"/>
                <w:sz w:val="21"/>
                <w:szCs w:val="21"/>
                <w:highlight w:val="none"/>
                <w:u w:val="none"/>
                <w:lang w:val="en-US" w:eastAsia="zh-CN" w:bidi="ar"/>
              </w:rPr>
              <w:t xml:space="preserve">考位</w:t>
            </w:r>
            <w:r/>
          </w:p>
        </w:tc>
        <w:tc>
          <w:tcPr>
            <w:shd w:val="clear" w:color="auto" w:fill="auto"/>
            <w:tcW w:w="5417" w:type="dxa"/>
            <w:vAlign w:val="center"/>
            <w:textDirection w:val="lrTb"/>
            <w:noWrap w:val="false"/>
          </w:tcPr>
          <w:p>
            <w:pPr>
              <w:jc w:val="center"/>
              <w:keepLines w:val="0"/>
              <w:keepNext w:val="0"/>
              <w:widowControl/>
              <w:rPr>
                <w:rFonts w:hint="eastAsia" w:asciiTheme="majorEastAsia" w:hAnsiTheme="majorEastAsia" w:eastAsiaTheme="majorEastAsia" w:cstheme="majorEastAsia"/>
                <w:b/>
                <w:bCs/>
                <w:i w:val="0"/>
                <w:iCs w:val="0"/>
                <w:color w:val="000000"/>
                <w:sz w:val="21"/>
                <w:szCs w:val="21"/>
                <w:highlight w:val="none"/>
                <w:u w:val="none"/>
              </w:rPr>
              <w:suppressLineNumbers w:val="0"/>
            </w:pPr>
            <w:r>
              <w:rPr>
                <w:rFonts w:hint="eastAsia" w:asciiTheme="majorEastAsia" w:hAnsiTheme="majorEastAsia" w:eastAsiaTheme="majorEastAsia" w:cstheme="majorEastAsia"/>
                <w:b/>
                <w:bCs/>
                <w:i w:val="0"/>
                <w:iCs w:val="0"/>
                <w:color w:val="000000"/>
                <w:sz w:val="21"/>
                <w:szCs w:val="21"/>
                <w:highlight w:val="none"/>
                <w:u w:val="none"/>
                <w:lang w:val="en-US" w:eastAsia="zh-CN" w:bidi="ar"/>
              </w:rPr>
              <w:t xml:space="preserve">设备名称</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b/>
                <w:bCs/>
                <w:i w:val="0"/>
                <w:iCs w:val="0"/>
                <w:color w:val="000000"/>
                <w:sz w:val="21"/>
                <w:szCs w:val="21"/>
                <w:highlight w:val="none"/>
                <w:u w:val="none"/>
              </w:rPr>
              <w:suppressLineNumbers w:val="0"/>
            </w:pPr>
            <w:r>
              <w:rPr>
                <w:rFonts w:hint="eastAsia" w:asciiTheme="majorEastAsia" w:hAnsiTheme="majorEastAsia" w:eastAsiaTheme="majorEastAsia" w:cstheme="majorEastAsia"/>
                <w:b/>
                <w:bCs/>
                <w:i w:val="0"/>
                <w:iCs w:val="0"/>
                <w:color w:val="000000"/>
                <w:sz w:val="21"/>
                <w:szCs w:val="21"/>
                <w:highlight w:val="none"/>
                <w:u w:val="none"/>
                <w:lang w:val="en-US" w:eastAsia="zh-CN" w:bidi="ar"/>
              </w:rPr>
              <w:t xml:space="preserve">数量</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b/>
                <w:bCs/>
                <w:i w:val="0"/>
                <w:iCs w:val="0"/>
                <w:color w:val="000000"/>
                <w:sz w:val="21"/>
                <w:szCs w:val="21"/>
                <w:highlight w:val="none"/>
                <w:u w:val="none"/>
              </w:rPr>
              <w:suppressLineNumbers w:val="0"/>
            </w:pPr>
            <w:r>
              <w:rPr>
                <w:rFonts w:hint="eastAsia" w:asciiTheme="majorEastAsia" w:hAnsiTheme="majorEastAsia" w:eastAsiaTheme="majorEastAsia" w:cstheme="majorEastAsia"/>
                <w:b/>
                <w:bCs/>
                <w:i w:val="0"/>
                <w:iCs w:val="0"/>
                <w:color w:val="000000"/>
                <w:sz w:val="21"/>
                <w:szCs w:val="21"/>
                <w:highlight w:val="none"/>
                <w:u w:val="none"/>
                <w:lang w:val="en-US" w:eastAsia="zh-CN" w:bidi="ar"/>
              </w:rPr>
              <w:t xml:space="preserve">单位</w:t>
            </w:r>
            <w:r/>
          </w:p>
        </w:tc>
      </w:tr>
      <w:tr>
        <w:trPr>
          <w:trHeight w:val="90"/>
        </w:trPr>
        <w:tc>
          <w:tcPr>
            <w:shd w:val="clear" w:color="auto" w:fill="auto"/>
            <w:tcW w:w="1557"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低压电工作业</w:t>
            </w:r>
            <w:r/>
          </w:p>
        </w:tc>
        <w:tc>
          <w:tcPr>
            <w:shd w:val="clear" w:color="auto" w:fill="auto"/>
            <w:tcW w:w="252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科目一安全用具使用</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K11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低压电工电力安全工器具与电工仪器仪表实操考核设备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54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科目二作业现场安全隐患排除</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K21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低压电工K21作业现场安全隐患排除实操考核设备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38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科目三安全操作技术</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低压电工K31电气设备安装实操考核设备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K32</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低压电工K32低压开关柜实操考核设备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395"/>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K33</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低压电工K33临时用电系统实操考核设备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440"/>
        </w:trPr>
        <w:tc>
          <w:tcPr>
            <w:shd w:val="clear" w:color="auto" w:fill="auto"/>
            <w:tcW w:w="1557"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熔化焊接与热切割作业</w:t>
            </w:r>
            <w:r/>
          </w:p>
        </w:tc>
        <w:tc>
          <w:tcPr>
            <w:shd w:val="clear" w:color="auto" w:fill="auto"/>
            <w:tcW w:w="252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科目一安全用具使用</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K11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安全用具考位设备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5</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54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科目二作业现场安全隐患排除</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K21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熔化焊接与热切割作业现场安全隐患排除实操考核设备（在原设备上升级）</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科目三安全操作技术</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焊条电弧焊高处实操考核设备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K32</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二氧化碳气体保护焊实操考核设备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K33</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氩弧焊实操考核设备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K34</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气焊实操考核设备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K34</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气割高处实操考核设备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K3配套</w:t>
            </w:r>
            <w:r/>
          </w:p>
        </w:tc>
        <w:tc>
          <w:tcPr>
            <w:shd w:val="clear" w:color="auto" w:fill="auto"/>
            <w:tcW w:w="1556"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焊工考试配套</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工位隔断</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排风排烟集成除尘环保设备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气路胶管</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气瓶室</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2</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间</w:t>
            </w:r>
            <w:r/>
          </w:p>
        </w:tc>
      </w:tr>
      <w:tr>
        <w:trPr>
          <w:trHeight w:val="455"/>
        </w:trPr>
        <w:tc>
          <w:tcPr>
            <w:shd w:val="clear" w:color="auto" w:fill="auto"/>
            <w:tcW w:w="1557"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高处安装维护与拆除作业</w:t>
            </w:r>
            <w:r/>
          </w:p>
        </w:tc>
        <w:tc>
          <w:tcPr>
            <w:shd w:val="clear" w:color="auto" w:fill="auto"/>
            <w:tcW w:w="252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科目一安全用具使用</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K11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高处作业安全用具实操考核设备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6</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科目二作业现场安全隐患排除</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K21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高处作业零部件判废实操考核设备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54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K22</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高处作业现场安全隐患排除实操考核设备（在原设备上升级）</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restart"/>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科目三安全技术操作</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移动平台实操考核设备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K32</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吊篮实操考培设备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K33</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吊具实操考培设备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270"/>
        </w:trPr>
        <w:tc>
          <w:tcPr>
            <w:shd w:val="clear" w:color="auto" w:fill="auto"/>
            <w:tcW w:w="1557"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2525" w:type="dxa"/>
            <w:vAlign w:val="center"/>
            <w:vMerge w:val="continue"/>
            <w:textDirection w:val="lrTb"/>
            <w:noWrap w:val="false"/>
          </w:tcPr>
          <w:p>
            <w:pPr>
              <w:jc w:val="center"/>
              <w:rPr>
                <w:rFonts w:hint="eastAsia" w:asciiTheme="majorEastAsia" w:hAnsiTheme="majorEastAsia" w:eastAsiaTheme="majorEastAsia" w:cstheme="majorEastAsia"/>
                <w:i w:val="0"/>
                <w:iCs w:val="0"/>
                <w:color w:val="000000"/>
                <w:sz w:val="21"/>
                <w:szCs w:val="21"/>
                <w:highlight w:val="none"/>
                <w:u w:val="none"/>
              </w:rPr>
            </w:pPr>
            <w:r>
              <w:rPr>
                <w:rFonts w:hint="eastAsia" w:asciiTheme="majorEastAsia" w:hAnsiTheme="majorEastAsia" w:eastAsiaTheme="majorEastAsia" w:cstheme="majorEastAsia"/>
                <w:i w:val="0"/>
                <w:iCs w:val="0"/>
                <w:color w:val="000000"/>
                <w:sz w:val="21"/>
                <w:szCs w:val="21"/>
                <w:highlight w:val="none"/>
                <w:u w:val="none"/>
              </w:rPr>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K34</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登杆登塔考核设备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595"/>
        </w:trPr>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作业现场应急处置实操考位</w:t>
            </w:r>
            <w:r/>
          </w:p>
        </w:tc>
        <w:tc>
          <w:tcPr>
            <w:shd w:val="clear" w:color="auto" w:fill="auto"/>
            <w:tcW w:w="2525"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科目四作业现场应急处置</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K41</w:t>
            </w:r>
            <w:r/>
          </w:p>
        </w:tc>
        <w:tc>
          <w:tcPr>
            <w:shd w:val="clear" w:color="auto" w:fill="auto"/>
            <w:tcW w:w="5417" w:type="dxa"/>
            <w:vAlign w:val="center"/>
            <w:textDirection w:val="lrTb"/>
            <w:noWrap w:val="false"/>
          </w:tcPr>
          <w:p>
            <w:pPr>
              <w:jc w:val="left"/>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触电事故现场应急处置实操考核设备</w:t>
            </w:r>
            <w:r/>
          </w:p>
        </w:tc>
        <w:tc>
          <w:tcPr>
            <w:shd w:val="clear" w:color="auto" w:fill="auto"/>
            <w:tcW w:w="1556"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套</w:t>
            </w:r>
            <w:r/>
          </w:p>
        </w:tc>
      </w:tr>
      <w:tr>
        <w:trPr>
          <w:trHeight w:val="538"/>
        </w:trPr>
        <w:tc>
          <w:tcPr>
            <w:shd w:val="clear" w:color="auto" w:fill="auto"/>
            <w:tcW w:w="1557"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其他配套</w:t>
            </w:r>
            <w:r/>
          </w:p>
        </w:tc>
        <w:tc>
          <w:tcPr>
            <w:gridSpan w:val="3"/>
            <w:shd w:val="clear" w:color="auto" w:fill="auto"/>
            <w:tcW w:w="9498" w:type="dxa"/>
            <w:vAlign w:val="center"/>
            <w:textDirection w:val="lrTb"/>
            <w:noWrap/>
          </w:tcPr>
          <w:p>
            <w:pPr>
              <w:jc w:val="center"/>
              <w:keepLines w:val="0"/>
              <w:keepNext w:val="0"/>
              <w:widowControl/>
              <w:rPr>
                <w:rFonts w:hint="default"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考场配套</w:t>
            </w:r>
            <w:r/>
          </w:p>
        </w:tc>
        <w:tc>
          <w:tcPr>
            <w:shd w:val="clear" w:color="auto" w:fill="auto"/>
            <w:tcW w:w="1556" w:type="dxa"/>
            <w:vAlign w:val="center"/>
            <w:textDirection w:val="lrTb"/>
            <w:noWrap/>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1</w:t>
            </w:r>
            <w:r/>
          </w:p>
        </w:tc>
        <w:tc>
          <w:tcPr>
            <w:shd w:val="clear" w:color="auto" w:fill="auto"/>
            <w:tcW w:w="1557" w:type="dxa"/>
            <w:vAlign w:val="center"/>
            <w:textDirection w:val="lrTb"/>
            <w:noWrap w:val="false"/>
          </w:tcPr>
          <w:p>
            <w:pPr>
              <w:jc w:val="center"/>
              <w:keepLines w:val="0"/>
              <w:keepNext w:val="0"/>
              <w:widowControl/>
              <w:rPr>
                <w:rFonts w:hint="eastAsia" w:asciiTheme="majorEastAsia" w:hAnsiTheme="majorEastAsia" w:eastAsiaTheme="majorEastAsia" w:cstheme="majorEastAsia"/>
                <w:i w:val="0"/>
                <w:iCs w:val="0"/>
                <w:color w:val="000000"/>
                <w:sz w:val="21"/>
                <w:szCs w:val="21"/>
                <w:highlight w:val="none"/>
                <w:u w:val="none"/>
                <w:lang w:val="en-US" w:eastAsia="zh-CN" w:bidi="ar"/>
              </w:rPr>
              <w:suppressLineNumbers w:val="0"/>
            </w:pPr>
            <w:r>
              <w:rPr>
                <w:rFonts w:hint="eastAsia" w:asciiTheme="majorEastAsia" w:hAnsiTheme="majorEastAsia" w:eastAsiaTheme="majorEastAsia" w:cstheme="majorEastAsia"/>
                <w:i w:val="0"/>
                <w:iCs w:val="0"/>
                <w:color w:val="000000"/>
                <w:sz w:val="21"/>
                <w:szCs w:val="21"/>
                <w:highlight w:val="none"/>
                <w:u w:val="none"/>
                <w:lang w:val="en-US" w:eastAsia="zh-CN" w:bidi="ar"/>
              </w:rPr>
              <w:t xml:space="preserve">项</w:t>
            </w:r>
            <w:r/>
          </w:p>
        </w:tc>
      </w:tr>
    </w:tbl>
    <w:p>
      <w:pPr>
        <w:rPr>
          <w:rFonts w:hint="eastAsia" w:ascii="宋体" w:hAnsi="宋体" w:cs="宋体"/>
          <w:b/>
          <w:szCs w:val="21"/>
          <w:highlight w:val="none"/>
        </w:rPr>
      </w:pPr>
      <w:r>
        <w:rPr>
          <w:rFonts w:hint="eastAsia" w:ascii="宋体" w:hAnsi="宋体" w:cs="宋体"/>
          <w:b/>
          <w:szCs w:val="21"/>
          <w:highlight w:val="none"/>
        </w:rPr>
        <w:br w:type="page" w:clear="all"/>
      </w:r>
      <w:r/>
    </w:p>
    <w:p>
      <w:pPr>
        <w:ind w:firstLine="420"/>
        <w:jc w:val="left"/>
        <w:spacing w:line="360" w:lineRule="auto"/>
        <w:rPr>
          <w:rFonts w:hint="eastAsia" w:ascii="宋体" w:hAnsi="宋体" w:cs="宋体"/>
          <w:b/>
          <w:szCs w:val="21"/>
          <w:highlight w:val="none"/>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cs="宋体"/>
          <w:b/>
          <w:szCs w:val="21"/>
          <w:highlight w:val="none"/>
        </w:rPr>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技术参数要求</w:t>
      </w:r>
      <w:r/>
    </w:p>
    <w:p>
      <w:pPr>
        <w:jc w:val="cente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t xml:space="preserve">低压电工作业</w:t>
      </w:r>
      <w:r/>
    </w:p>
    <w:tbl>
      <w:tblPr>
        <w:tblStyle w:val="923"/>
        <w:tblW w:w="14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958"/>
        <w:gridCol w:w="615"/>
        <w:gridCol w:w="2475"/>
        <w:gridCol w:w="977"/>
        <w:gridCol w:w="1003"/>
        <w:gridCol w:w="1110"/>
        <w:gridCol w:w="840"/>
        <w:gridCol w:w="6525"/>
      </w:tblGrid>
      <w:tr>
        <w:trPr>
          <w:jc w:val="center"/>
          <w:trHeight w:val="0"/>
          <w:tblHeader/>
        </w:trPr>
        <w:tc>
          <w:tcPr>
            <w:gridSpan w:val="2"/>
            <w:shd w:val="clear" w:color="auto" w:fill="auto"/>
            <w:tcW w:w="1573" w:type="dxa"/>
            <w:vAlign w:val="center"/>
            <w:textDirection w:val="lrTb"/>
            <w:noWrap/>
          </w:tcPr>
          <w:p>
            <w:pPr>
              <w:jc w:val="center"/>
              <w:rPr>
                <w:rFonts w:hint="eastAsia"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lang w:val="en-US" w:eastAsia="zh-CN"/>
              </w:rPr>
              <w:t xml:space="preserve">考位编号</w:t>
            </w:r>
            <w:r/>
          </w:p>
        </w:tc>
        <w:tc>
          <w:tcPr>
            <w:shd w:val="clear" w:color="auto" w:fill="auto"/>
            <w:tcW w:w="2475" w:type="dxa"/>
            <w:vAlign w:val="center"/>
            <w:textDirection w:val="lrTb"/>
            <w:noWrap w:val="false"/>
          </w:tcPr>
          <w:p>
            <w:pPr>
              <w:jc w:val="center"/>
              <w:rPr>
                <w:rFonts w:hint="eastAsia"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lang w:val="en-US" w:eastAsia="zh-CN"/>
              </w:rPr>
              <w:t xml:space="preserve">考位名称</w:t>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lang w:val="en-US" w:eastAsia="zh-CN"/>
              </w:rPr>
              <w:t xml:space="preserve">设备/设施/器材</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lang w:val="en-US" w:eastAsia="zh-CN"/>
              </w:rPr>
              <w:t xml:space="preserve">单套数量</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lang w:val="en-US" w:eastAsia="zh-CN"/>
              </w:rPr>
              <w:t xml:space="preserve">单位</w:t>
            </w:r>
            <w:r/>
          </w:p>
        </w:tc>
        <w:tc>
          <w:tcPr>
            <w:shd w:val="clear" w:color="auto" w:fill="auto"/>
            <w:tcW w:w="6525" w:type="dxa"/>
            <w:vAlign w:val="center"/>
            <w:textDirection w:val="lrTb"/>
            <w:noWrap w:val="false"/>
          </w:tcPr>
          <w:p>
            <w:pPr>
              <w:jc w:val="center"/>
              <w:rPr>
                <w:rFonts w:hint="eastAsia" w:asciiTheme="majorEastAsia" w:hAnsiTheme="majorEastAsia" w:eastAsiaTheme="majorEastAsia" w:cstheme="majorEastAsia"/>
                <w:b/>
                <w:sz w:val="21"/>
                <w:szCs w:val="21"/>
                <w:highlight w:val="none"/>
              </w:rPr>
            </w:pPr>
            <w:r>
              <w:rPr>
                <w:rFonts w:hint="eastAsia" w:asciiTheme="majorEastAsia" w:hAnsiTheme="majorEastAsia" w:eastAsiaTheme="majorEastAsia" w:cstheme="majorEastAsia"/>
                <w:b/>
                <w:sz w:val="21"/>
                <w:szCs w:val="21"/>
                <w:highlight w:val="none"/>
                <w:lang w:val="en-US" w:eastAsia="zh-CN"/>
              </w:rPr>
              <w:t xml:space="preserve">标准要求</w:t>
            </w:r>
            <w:r/>
          </w:p>
        </w:tc>
      </w:tr>
      <w:tr>
        <w:trPr>
          <w:jc w:val="center"/>
          <w:trHeight w:val="0"/>
        </w:trPr>
        <w:tc>
          <w:tcPr>
            <w:shd w:val="clear" w:color="auto" w:fill="auto"/>
            <w:tcW w:w="958"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科目一</w:t>
            </w:r>
            <w:r/>
          </w:p>
        </w:tc>
        <w:tc>
          <w:tcPr>
            <w:shd w:val="clear" w:color="auto" w:fill="auto"/>
            <w:tcW w:w="615"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K11</w:t>
            </w:r>
            <w:r/>
          </w:p>
        </w:tc>
        <w:tc>
          <w:tcPr>
            <w:shd w:val="clear" w:color="auto" w:fill="auto"/>
            <w:tcW w:w="2475" w:type="dxa"/>
            <w:vAlign w:val="center"/>
            <w:vMerge w:val="restart"/>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低压电工电力安全工器具与电工仪器仪表实操考核设备</w:t>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低压验电笔</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1.测量范围：测量范围：500V及以下</w:t>
            </w:r>
            <w:r>
              <w:rPr>
                <w:rFonts w:hint="eastAsia" w:asciiTheme="majorEastAsia" w:hAnsiTheme="majorEastAsia" w:eastAsiaTheme="majorEastAsia" w:cstheme="majorEastAsia"/>
                <w:sz w:val="21"/>
                <w:szCs w:val="21"/>
                <w:highlight w:val="none"/>
                <w:lang w:eastAsia="zh-CN"/>
              </w:rPr>
              <w:t xml:space="preserve">。</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2.外壳耐压≥500V，工作电流小于0.5mA，绝缘电阻大于20MΩ。</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3.数字显示：12V</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220V。</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4.档LED发光显示，3V以上电压值存在的电场即可发光。</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携带型低压短路接地线</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1.适用电压：≥0.4kV；接地棒长度：≥0.5m。</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2.棒材质：玻璃钢。</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3.应符合现行标准《便携式接地和接地短路装置》(DL/T879)、《带电作业用空心绝缘管、泡沫填充绝缘管和实心绝缘棒》(GB13398)的有关要求。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绝缘凳</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rPr>
                <w:rFonts w:hint="eastAsia" w:asciiTheme="majorEastAsia" w:hAnsiTheme="majorEastAsia" w:eastAsiaTheme="majorEastAsia" w:cstheme="majorEastAsia"/>
                <w:sz w:val="21"/>
                <w:szCs w:val="21"/>
                <w:highlight w:val="none"/>
                <w:lang w:eastAsia="zh-CN"/>
              </w:rPr>
              <w:t xml:space="preserve">尺寸（长*宽*高）：≥30*50*40</w:t>
            </w:r>
            <w:r>
              <w:rPr>
                <w:rFonts w:hint="eastAsia" w:asciiTheme="majorEastAsia" w:hAnsiTheme="majorEastAsia" w:eastAsiaTheme="majorEastAsia" w:cstheme="majorEastAsia"/>
                <w:sz w:val="21"/>
                <w:szCs w:val="21"/>
                <w:highlight w:val="none"/>
                <w:lang w:val="en-US" w:eastAsia="zh-CN"/>
              </w:rPr>
              <w:t xml:space="preserve">cm。</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2.应符合现行标准《带电作业用绝缘硬梯》(GB/T17620)的有关要求。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绝缘梯</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1.尺寸：高度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1.2m(3层高度)。</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2.应符合现行标准《带电作业用绝缘硬梯》(GB/T17620)的有关要求。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绝缘垫</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1.适用电压：≥10kV。</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2.厚度：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1.5mm。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3.颜色：黑色；材质：绝缘橡胶。</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绝缘胶带</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卷</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1.材质：PVC</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2.长度：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10m，厚度：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0.17mm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3.拉伸强度：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2.2kN/m，伸长率：1</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70%</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4.</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180°剥离力：</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180N/m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5.电气强度：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5.5kV</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绝缘手套</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副</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1.适用电压：</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12kV，直板。</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2.材质：橡胶。</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3.应符合现行标准《带电作业用绝缘手套》(GB/T17622)的有关要求。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绝缘鞋</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双</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1.适用电压：≥10kV。</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2.材质：防水橡胶。</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3.应符合现行标准《足部防护安全鞋》(GB21148)的有关要求。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安全帽</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顶</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1.颜色：黄色，国标加厚V-2型。</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2.材质：ABS+PE+针织布。</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3.应符合现行标准《头部防护安全帽》(GB2811)的有关要求。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防护眼镜</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副</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1.颜色：透明色。</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2.材质：PC聚碳酸酯。</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安全绳</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根</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1.尺寸：</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15m/条。</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2.直径：</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16mm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3.材质：丙纶。</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围杆作业用安全带</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1.围杆式。</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2.材质：高强度丙纶。</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3.应符合现行标准《坠落防护安全带》(GB6095)的有关要求。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区域限制用安全带</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1.橘色单钩。</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2.材质：聚酯纤维+合金钢。</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3.应符合现行标准《坠落防护安全带》(GB6095)的有关要求。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坠落悬挂用安全带</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1.缓冲双大钩。</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2.材质：聚酯纤维+合金钢。</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3.应符合现行标准《坠落防护安全带》(GB6095)的有关要求。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脚扣</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1.脚扣皮厚度：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20mm，橡胶垫厚度：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10mm。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2.适用杆高：6-8m电线杆，开口直径：15-25cm。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3.材质：锰钢无缝钢管。</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登高板</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1.板长</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600㎜，板宽</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80㎜，板厚</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23㎜。</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2.尼龙绳索直径</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16mm，长度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1800mm，承重300kg以上。</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电杆</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根</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1.应符合《环形混凝土电杆》（GB/T4623）国家标准。</w:t>
            </w:r>
            <w:r>
              <w:rPr>
                <w:rFonts w:hint="eastAsia" w:asciiTheme="majorEastAsia" w:hAnsiTheme="majorEastAsia" w:eastAsiaTheme="majorEastAsia" w:cstheme="majorEastAsia"/>
                <w:sz w:val="21"/>
                <w:szCs w:val="21"/>
                <w:highlight w:val="none"/>
                <w:lang w:eastAsia="zh-CN"/>
              </w:rPr>
              <w:br/>
            </w:r>
            <w:r>
              <w:rPr>
                <w:rFonts w:hint="eastAsia" w:asciiTheme="majorEastAsia" w:hAnsiTheme="majorEastAsia" w:eastAsiaTheme="majorEastAsia" w:cstheme="majorEastAsia"/>
                <w:sz w:val="21"/>
                <w:szCs w:val="21"/>
                <w:highlight w:val="none"/>
                <w:lang w:eastAsia="zh-CN"/>
              </w:rPr>
              <w:t xml:space="preserve">尺寸参数：高度按照现场实际情况而定，</w:t>
            </w:r>
            <w:r>
              <w:rPr>
                <w:rFonts w:hint="eastAsia" w:asciiTheme="majorEastAsia" w:hAnsiTheme="majorEastAsia" w:eastAsiaTheme="majorEastAsia" w:cstheme="majorEastAsia"/>
                <w:sz w:val="21"/>
                <w:szCs w:val="21"/>
                <w:highlight w:val="none"/>
                <w:lang w:val="en-US" w:eastAsia="zh-CN"/>
              </w:rPr>
              <w:t xml:space="preserve">≥4m,</w:t>
            </w:r>
            <w:r>
              <w:rPr>
                <w:rFonts w:hint="eastAsia" w:asciiTheme="majorEastAsia" w:hAnsiTheme="majorEastAsia" w:eastAsiaTheme="majorEastAsia" w:cstheme="majorEastAsia"/>
                <w:sz w:val="21"/>
                <w:szCs w:val="21"/>
                <w:highlight w:val="none"/>
                <w:lang w:eastAsia="zh-CN"/>
              </w:rPr>
              <w:t xml:space="preserve">底部直径≥200mm，顶部直径≥160mm；杆身壁厚偏差±5mm，保护层厚度≥15mm。​</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lang w:eastAsia="zh-CN"/>
              </w:rPr>
              <w:t xml:space="preserve">外观表面平整，无环向裂缝、贯通纵向裂缝，麻面/粘皮面积≥总面积的5%，且单处长度≥100mm，深度≥5mm；杆身弯曲度≥杆长的1/1000。​</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w:t>
            </w:r>
            <w:r>
              <w:rPr>
                <w:rFonts w:hint="eastAsia" w:asciiTheme="majorEastAsia" w:hAnsiTheme="majorEastAsia" w:eastAsiaTheme="majorEastAsia" w:cstheme="majorEastAsia"/>
                <w:sz w:val="21"/>
                <w:szCs w:val="21"/>
                <w:highlight w:val="none"/>
                <w:lang w:eastAsia="zh-CN"/>
              </w:rPr>
              <w:t xml:space="preserve">力学性能：电杆抗裂弯矩、极限弯矩等力学性能须应符合GB/T4623表4-表7规定。</w:t>
            </w:r>
            <w:r>
              <w:rPr>
                <w:rFonts w:hint="eastAsia" w:asciiTheme="majorEastAsia" w:hAnsiTheme="majorEastAsia" w:eastAsiaTheme="majorEastAsia" w:cstheme="majorEastAsia"/>
                <w:sz w:val="21"/>
                <w:szCs w:val="21"/>
                <w:highlight w:val="none"/>
                <w:lang w:eastAsia="zh-CN"/>
              </w:rPr>
              <w:br/>
            </w:r>
            <w:r>
              <w:rPr>
                <w:rFonts w:hint="eastAsia" w:asciiTheme="majorEastAsia" w:hAnsiTheme="majorEastAsia" w:eastAsiaTheme="majorEastAsia" w:cstheme="majorEastAsia"/>
                <w:sz w:val="21"/>
                <w:szCs w:val="21"/>
                <w:highlight w:val="none"/>
                <w:lang w:val="en-US" w:eastAsia="zh-CN"/>
              </w:rPr>
              <w:t xml:space="preserve">4.</w:t>
            </w:r>
            <w:r>
              <w:rPr>
                <w:rFonts w:hint="eastAsia" w:asciiTheme="majorEastAsia" w:hAnsiTheme="majorEastAsia" w:eastAsiaTheme="majorEastAsia" w:cstheme="majorEastAsia"/>
                <w:sz w:val="21"/>
                <w:szCs w:val="21"/>
                <w:highlight w:val="none"/>
                <w:lang w:eastAsia="zh-CN"/>
              </w:rPr>
              <w:t xml:space="preserve">电杆结构与安装工艺完整还原实际高处作业场景，</w:t>
            </w:r>
            <w:r>
              <w:rPr>
                <w:rFonts w:hint="eastAsia" w:asciiTheme="majorEastAsia" w:hAnsiTheme="majorEastAsia" w:eastAsiaTheme="majorEastAsia" w:cstheme="majorEastAsia"/>
                <w:sz w:val="21"/>
                <w:szCs w:val="21"/>
                <w:highlight w:val="none"/>
                <w:lang w:val="en-US" w:eastAsia="zh-CN"/>
              </w:rPr>
              <w:t xml:space="preserve">满足高</w:t>
            </w:r>
            <w:r>
              <w:rPr>
                <w:rFonts w:hint="eastAsia" w:asciiTheme="majorEastAsia" w:hAnsiTheme="majorEastAsia" w:eastAsiaTheme="majorEastAsia" w:cstheme="majorEastAsia"/>
                <w:sz w:val="21"/>
                <w:szCs w:val="21"/>
                <w:highlight w:val="none"/>
                <w:lang w:eastAsia="zh-CN"/>
              </w:rPr>
              <w:t xml:space="preserve">低</w:t>
            </w:r>
            <w:r>
              <w:rPr>
                <w:rFonts w:hint="eastAsia" w:asciiTheme="majorEastAsia" w:hAnsiTheme="majorEastAsia" w:eastAsiaTheme="majorEastAsia" w:cstheme="majorEastAsia"/>
                <w:sz w:val="21"/>
                <w:szCs w:val="21"/>
                <w:highlight w:val="none"/>
                <w:lang w:val="en-US" w:eastAsia="zh-CN"/>
              </w:rPr>
              <w:t xml:space="preserve">压电工实操中架空线路作业安全绳、脚扣、登高板的实训考核，保证过程的安全性与场景真实性。</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工具袋</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中号；帆布</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电工通用工具</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1.工具箱尺寸：</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415*290*82mm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包含：锯子、批头*10、手电筒、美工刀、电工胶布、套筒（5-13）、刀片、十字螺丝刀、一字螺丝刀、棘轮手柄、零件盒、精密螺丝批、活动扳手、羊角锤、水泵钳、内六角（1.5-6）、数显电笔、3M卷尺、剪刀、钢丝钳、尖嘴钳、剥线钳。</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指针式万用表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符合现行标准《国家电气设备安全技术规范》（GB19517）的有关要求，符合电气设备相关的国家标准。</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数字式万用表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符合现行标准《国家电气设备安全技术规范》（GB19517）的有关要求，符合电气设备相关的国家标准。</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数字式钳形电流表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 xml:space="preserve">1.AC/DC600V以下。</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 xml:space="preserve">2.符合现行标准《国家电气设备安全技术规范》（GB19517）的有关要求，并符合电气设备相关的国家标准。</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指针式钳型电流表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1.钳口最大开口：40mm。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2.直流电压：75V，±4%。</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3.交流电压：150/300/750V，±4%。</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4.交流电流：6/15/60/150/300A，±4%。</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5.电阻：2k/200kΩ，±4%。</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6.温度：-20～150℃/0～300oF，±5%。</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500V指针式兆欧表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rPr>
                <w:rFonts w:hint="eastAsia" w:asciiTheme="majorEastAsia" w:hAnsiTheme="majorEastAsia" w:eastAsiaTheme="majorEastAsia" w:cstheme="majorEastAsia"/>
                <w:sz w:val="21"/>
                <w:szCs w:val="21"/>
                <w:highlight w:val="none"/>
              </w:rPr>
              <w:t xml:space="preserve">额定电压</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500</w:t>
            </w:r>
            <w:r>
              <w:rPr>
                <w:rFonts w:hint="eastAsia" w:asciiTheme="majorEastAsia" w:hAnsiTheme="majorEastAsia" w:eastAsiaTheme="majorEastAsia" w:cstheme="majorEastAsia"/>
                <w:sz w:val="21"/>
                <w:szCs w:val="21"/>
                <w:highlight w:val="none"/>
                <w:lang w:val="en-US" w:eastAsia="zh-CN"/>
              </w:rPr>
              <w:t xml:space="preserve">V.</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rPr>
              <w:t xml:space="preserve">测量范围0-500MΩ</w:t>
            </w:r>
            <w:r>
              <w:rPr>
                <w:rFonts w:hint="eastAsia" w:asciiTheme="majorEastAsia" w:hAnsiTheme="majorEastAsia" w:eastAsiaTheme="majorEastAsia" w:cstheme="majorEastAsia"/>
                <w:sz w:val="21"/>
                <w:szCs w:val="21"/>
                <w:highlight w:val="none"/>
                <w:lang w:val="en-US" w:eastAsia="zh-CN"/>
              </w:rPr>
              <w:t xml:space="preserve">.</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w:t>
            </w:r>
            <w:r>
              <w:rPr>
                <w:rFonts w:hint="eastAsia" w:asciiTheme="majorEastAsia" w:hAnsiTheme="majorEastAsia" w:eastAsiaTheme="majorEastAsia" w:cstheme="majorEastAsia"/>
                <w:sz w:val="21"/>
                <w:szCs w:val="21"/>
                <w:highlight w:val="none"/>
              </w:rPr>
              <w:t xml:space="preserve">准确度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10级，允差±10%。</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1000V指针式兆欧表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1.</w:t>
            </w:r>
            <w:r>
              <w:rPr>
                <w:rFonts w:hint="eastAsia" w:asciiTheme="majorEastAsia" w:hAnsiTheme="majorEastAsia" w:eastAsiaTheme="majorEastAsia" w:cstheme="majorEastAsia"/>
                <w:sz w:val="21"/>
                <w:szCs w:val="21"/>
                <w:highlight w:val="none"/>
              </w:rPr>
              <w:t xml:space="preserve">额定电压</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1000</w:t>
            </w:r>
            <w:r>
              <w:rPr>
                <w:rFonts w:hint="eastAsia" w:asciiTheme="majorEastAsia" w:hAnsiTheme="majorEastAsia" w:eastAsiaTheme="majorEastAsia" w:cstheme="majorEastAsia"/>
                <w:sz w:val="21"/>
                <w:szCs w:val="21"/>
                <w:highlight w:val="none"/>
                <w:lang w:val="en-US" w:eastAsia="zh-CN"/>
              </w:rPr>
              <w:t xml:space="preserve">V</w:t>
            </w:r>
            <w:r>
              <w:rPr>
                <w:rFonts w:hint="eastAsia" w:asciiTheme="majorEastAsia" w:hAnsiTheme="majorEastAsia" w:eastAsiaTheme="majorEastAsia" w:cstheme="majorEastAsia"/>
                <w:sz w:val="21"/>
                <w:szCs w:val="21"/>
                <w:highlight w:val="none"/>
                <w:lang w:eastAsia="zh-CN"/>
              </w:rPr>
              <w:t xml:space="preserve">。</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rPr>
              <w:t xml:space="preserve">准确度</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10级，允差±10%。</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数字式兆欧表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1.输出电压：500v/1000v/2500v，0～10%。500v：3MΩ～2GΩ，±(3%+5)；1000v：5MΩ～4GΩ，±(3%+5)</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2500V：25MΩ～20GΩ，±(3%+5)。</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2.测试电流：500V(R=500KΩ) 1mA，±10%；1000V(R=1MΩ) 1mA，±10%；2500V(R=2.5MΩ)1mA，±10%。</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3.短路电流，&lt;2mA。</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4.直流电压 (v)：30v～1000v，±(2%+3)。</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5.交流电压 (v)：30v～750v，±(2%+3)。。</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数字式接地电阻测试仪</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1.</w:t>
            </w:r>
            <w:r>
              <w:rPr>
                <w:rFonts w:hint="eastAsia" w:asciiTheme="majorEastAsia" w:hAnsiTheme="majorEastAsia" w:eastAsiaTheme="majorEastAsia" w:cstheme="majorEastAsia"/>
                <w:sz w:val="21"/>
                <w:szCs w:val="21"/>
                <w:highlight w:val="none"/>
              </w:rPr>
              <w:t xml:space="preserve">接地电阻响应时间:约5秒</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rPr>
              <w:t xml:space="preserve">接地电压显示时间:约1秒</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w:t>
            </w:r>
            <w:r>
              <w:rPr>
                <w:rFonts w:hint="eastAsia" w:asciiTheme="majorEastAsia" w:hAnsiTheme="majorEastAsia" w:eastAsiaTheme="majorEastAsia" w:cstheme="majorEastAsia"/>
                <w:sz w:val="21"/>
                <w:szCs w:val="21"/>
                <w:highlight w:val="none"/>
              </w:rPr>
              <w:t xml:space="preserve">接地电压:600V</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4.</w:t>
            </w:r>
            <w:r>
              <w:rPr>
                <w:rFonts w:hint="eastAsia" w:asciiTheme="majorEastAsia" w:hAnsiTheme="majorEastAsia" w:eastAsiaTheme="majorEastAsia" w:cstheme="majorEastAsia"/>
                <w:sz w:val="21"/>
                <w:szCs w:val="21"/>
                <w:highlight w:val="none"/>
              </w:rPr>
              <w:t xml:space="preserve">显示方式:LCD显示</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5.</w:t>
            </w:r>
            <w:r>
              <w:rPr>
                <w:rFonts w:hint="eastAsia" w:asciiTheme="majorEastAsia" w:hAnsiTheme="majorEastAsia" w:eastAsiaTheme="majorEastAsia" w:cstheme="majorEastAsia"/>
                <w:sz w:val="21"/>
                <w:szCs w:val="21"/>
                <w:highlight w:val="none"/>
              </w:rPr>
              <w:t xml:space="preserve">最大显示:1999</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6.</w:t>
            </w:r>
            <w:r>
              <w:rPr>
                <w:rFonts w:hint="eastAsia" w:asciiTheme="majorEastAsia" w:hAnsiTheme="majorEastAsia" w:eastAsiaTheme="majorEastAsia" w:cstheme="majorEastAsia"/>
                <w:sz w:val="21"/>
                <w:szCs w:val="21"/>
                <w:highlight w:val="none"/>
              </w:rPr>
              <w:t xml:space="preserve">低电压提示:有</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7.</w:t>
            </w:r>
            <w:r>
              <w:rPr>
                <w:rFonts w:hint="eastAsia" w:asciiTheme="majorEastAsia" w:hAnsiTheme="majorEastAsia" w:eastAsiaTheme="majorEastAsia" w:cstheme="majorEastAsia"/>
                <w:sz w:val="21"/>
                <w:szCs w:val="21"/>
                <w:highlight w:val="none"/>
              </w:rPr>
              <w:t xml:space="preserve">机身颜色:铁灰+黄色</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漏电保护器测试仪</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1．功能：测试各种漏电保护器的漏电动作时间</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2．电源：DC6V 3．测试线路电压：AC 250V以下</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4．额定电压：AC 220V</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5．漏电电流档位：15、30、50、75、100、150、200、250、300、500mA</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6．测试漏电动作时间量程：0~999ms</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7．漏电动作时间显示精度：+5%rdg+3dgt</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8．档位电流精度：+10%rdg+2dgt</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9．失效信息指示：LCD显示“fault”失效信息指示，可能测试的额定动作电流档位太小或漏电保护器有故障</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电阻箱</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台</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auto"/>
                <w:szCs w:val="21"/>
                <w:highlight w:val="none"/>
              </w:rPr>
              <w:t xml:space="preserve">最小步进</w:t>
            </w:r>
            <w:r>
              <w:rPr>
                <w:rFonts w:hint="eastAsia" w:asciiTheme="majorEastAsia" w:hAnsiTheme="majorEastAsia" w:eastAsiaTheme="majorEastAsia" w:cstheme="majorEastAsia"/>
                <w:color w:val="auto"/>
                <w:szCs w:val="21"/>
                <w:highlight w:val="none"/>
                <w:lang w:val="en-US" w:eastAsia="zh-CN"/>
              </w:rPr>
              <w:t xml:space="preserve">≥</w:t>
            </w:r>
            <w:r>
              <w:rPr>
                <w:rFonts w:hint="eastAsia" w:asciiTheme="majorEastAsia" w:hAnsiTheme="majorEastAsia" w:eastAsiaTheme="majorEastAsia" w:cstheme="majorEastAsia"/>
                <w:color w:val="auto"/>
                <w:szCs w:val="21"/>
                <w:highlight w:val="none"/>
              </w:rPr>
              <w:t xml:space="preserve">1Ω,量程</w:t>
            </w:r>
            <w:r>
              <w:rPr>
                <w:rFonts w:hint="eastAsia" w:asciiTheme="majorEastAsia" w:hAnsiTheme="majorEastAsia" w:eastAsiaTheme="majorEastAsia" w:cstheme="majorEastAsia"/>
                <w:color w:val="auto"/>
                <w:szCs w:val="21"/>
                <w:highlight w:val="none"/>
                <w:lang w:val="en-US" w:eastAsia="zh-CN"/>
              </w:rPr>
              <w:t xml:space="preserve">≤</w:t>
            </w:r>
            <w:r>
              <w:rPr>
                <w:rFonts w:hint="eastAsia" w:asciiTheme="majorEastAsia" w:hAnsiTheme="majorEastAsia" w:eastAsiaTheme="majorEastAsia" w:cstheme="majorEastAsia"/>
                <w:color w:val="auto"/>
                <w:szCs w:val="21"/>
                <w:highlight w:val="none"/>
              </w:rPr>
              <w:t xml:space="preserve">99kΩ。</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C型漏电保护器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rPr>
                <w:rFonts w:hint="eastAsia" w:asciiTheme="majorEastAsia" w:hAnsiTheme="majorEastAsia" w:eastAsiaTheme="majorEastAsia" w:cstheme="majorEastAsia"/>
                <w:sz w:val="21"/>
                <w:szCs w:val="21"/>
                <w:highlight w:val="none"/>
                <w:lang w:eastAsia="zh-CN"/>
              </w:rPr>
              <w:t xml:space="preserve">脱扣器特性：</w:t>
            </w:r>
            <w:r>
              <w:rPr>
                <w:rFonts w:hint="eastAsia" w:asciiTheme="majorEastAsia" w:hAnsiTheme="majorEastAsia" w:eastAsiaTheme="majorEastAsia" w:cstheme="majorEastAsia"/>
                <w:sz w:val="21"/>
                <w:szCs w:val="21"/>
                <w:highlight w:val="none"/>
                <w:lang w:val="en-US" w:eastAsia="zh-CN"/>
              </w:rPr>
              <w:t xml:space="preserve">C。</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rPr>
              <w:t xml:space="preserve">剩余电流保护类型</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电磁式</w:t>
            </w:r>
            <w:r>
              <w:rPr>
                <w:rFonts w:hint="eastAsia" w:asciiTheme="majorEastAsia" w:hAnsiTheme="majorEastAsia" w:eastAsiaTheme="majorEastAsia" w:cstheme="majorEastAsia"/>
                <w:sz w:val="21"/>
                <w:szCs w:val="21"/>
                <w:highlight w:val="none"/>
                <w:lang w:eastAsia="zh-CN"/>
              </w:rPr>
              <w:t xml:space="preserve">。</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3.</w:t>
            </w:r>
            <w:r>
              <w:rPr>
                <w:rFonts w:hint="eastAsia" w:asciiTheme="majorEastAsia" w:hAnsiTheme="majorEastAsia" w:eastAsiaTheme="majorEastAsia" w:cstheme="majorEastAsia"/>
                <w:sz w:val="21"/>
                <w:szCs w:val="21"/>
                <w:highlight w:val="none"/>
                <w:lang w:eastAsia="zh-CN"/>
              </w:rPr>
              <w:t xml:space="preserve">剩余动作电流：≥30mA。动作类型：A/C。</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4.</w:t>
            </w:r>
            <w:r>
              <w:rPr>
                <w:rFonts w:hint="eastAsia" w:asciiTheme="majorEastAsia" w:hAnsiTheme="majorEastAsia" w:eastAsiaTheme="majorEastAsia" w:cstheme="majorEastAsia"/>
                <w:sz w:val="21"/>
                <w:szCs w:val="21"/>
                <w:highlight w:val="none"/>
                <w:lang w:eastAsia="zh-CN"/>
              </w:rPr>
              <w:t xml:space="preserve">分断能力：≥6kA。</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5.</w:t>
            </w:r>
            <w:r>
              <w:rPr>
                <w:rFonts w:hint="eastAsia" w:asciiTheme="majorEastAsia" w:hAnsiTheme="majorEastAsia" w:eastAsiaTheme="majorEastAsia" w:cstheme="majorEastAsia"/>
                <w:sz w:val="21"/>
                <w:szCs w:val="21"/>
                <w:highlight w:val="none"/>
                <w:lang w:eastAsia="zh-CN"/>
              </w:rPr>
              <w:t xml:space="preserve">壳架额定电流：≥100A。</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6.</w:t>
            </w:r>
            <w:r>
              <w:rPr>
                <w:rFonts w:hint="eastAsia" w:asciiTheme="majorEastAsia" w:hAnsiTheme="majorEastAsia" w:eastAsiaTheme="majorEastAsia" w:cstheme="majorEastAsia"/>
                <w:sz w:val="21"/>
                <w:szCs w:val="21"/>
                <w:highlight w:val="none"/>
                <w:lang w:eastAsia="zh-CN"/>
              </w:rPr>
              <w:t xml:space="preserve">额定电流：10-63A。</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D型漏电保护器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rPr>
                <w:rFonts w:hint="eastAsia" w:asciiTheme="majorEastAsia" w:hAnsiTheme="majorEastAsia" w:eastAsiaTheme="majorEastAsia" w:cstheme="majorEastAsia"/>
                <w:sz w:val="21"/>
                <w:szCs w:val="21"/>
                <w:highlight w:val="none"/>
                <w:lang w:eastAsia="zh-CN"/>
              </w:rPr>
              <w:t xml:space="preserve">脱扣器特性：</w:t>
            </w:r>
            <w:r>
              <w:rPr>
                <w:rFonts w:hint="eastAsia" w:asciiTheme="majorEastAsia" w:hAnsiTheme="majorEastAsia" w:eastAsiaTheme="majorEastAsia" w:cstheme="majorEastAsia"/>
                <w:sz w:val="21"/>
                <w:szCs w:val="21"/>
                <w:highlight w:val="none"/>
                <w:lang w:val="en-US" w:eastAsia="zh-CN"/>
              </w:rPr>
              <w:t xml:space="preserve">D。</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rPr>
              <w:t xml:space="preserve">剩余电流保护类型</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rPr>
              <w:t xml:space="preserve">电磁式</w:t>
            </w:r>
            <w:r>
              <w:rPr>
                <w:rFonts w:hint="eastAsia" w:asciiTheme="majorEastAsia" w:hAnsiTheme="majorEastAsia" w:eastAsiaTheme="majorEastAsia" w:cstheme="majorEastAsia"/>
                <w:sz w:val="21"/>
                <w:szCs w:val="21"/>
                <w:highlight w:val="none"/>
                <w:lang w:eastAsia="zh-CN"/>
              </w:rPr>
              <w:t xml:space="preserve">。</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3.</w:t>
            </w:r>
            <w:r>
              <w:rPr>
                <w:rFonts w:hint="eastAsia" w:asciiTheme="majorEastAsia" w:hAnsiTheme="majorEastAsia" w:eastAsiaTheme="majorEastAsia" w:cstheme="majorEastAsia"/>
                <w:sz w:val="21"/>
                <w:szCs w:val="21"/>
                <w:highlight w:val="none"/>
                <w:lang w:eastAsia="zh-CN"/>
              </w:rPr>
              <w:t xml:space="preserve">剩余动作电流：≥30mA。动作类型：A/C。</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4.</w:t>
            </w:r>
            <w:r>
              <w:rPr>
                <w:rFonts w:hint="eastAsia" w:asciiTheme="majorEastAsia" w:hAnsiTheme="majorEastAsia" w:eastAsiaTheme="majorEastAsia" w:cstheme="majorEastAsia"/>
                <w:sz w:val="21"/>
                <w:szCs w:val="21"/>
                <w:highlight w:val="none"/>
                <w:lang w:eastAsia="zh-CN"/>
              </w:rPr>
              <w:t xml:space="preserve">分断能力：≥6kA。</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5.</w:t>
            </w:r>
            <w:r>
              <w:rPr>
                <w:rFonts w:hint="eastAsia" w:asciiTheme="majorEastAsia" w:hAnsiTheme="majorEastAsia" w:eastAsiaTheme="majorEastAsia" w:cstheme="majorEastAsia"/>
                <w:sz w:val="21"/>
                <w:szCs w:val="21"/>
                <w:highlight w:val="none"/>
                <w:lang w:eastAsia="zh-CN"/>
              </w:rPr>
              <w:t xml:space="preserve">壳架额定电流：≥100A。</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6.</w:t>
            </w:r>
            <w:r>
              <w:rPr>
                <w:rFonts w:hint="eastAsia" w:asciiTheme="majorEastAsia" w:hAnsiTheme="majorEastAsia" w:eastAsiaTheme="majorEastAsia" w:cstheme="majorEastAsia"/>
                <w:sz w:val="21"/>
                <w:szCs w:val="21"/>
                <w:highlight w:val="none"/>
                <w:lang w:eastAsia="zh-CN"/>
              </w:rPr>
              <w:t xml:space="preserve">额定电流：10-63A。</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restart"/>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干扰项</w:t>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低压验电笔</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无法正常使用的。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携带型低压短路接地线</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缺少附件的。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安全帽</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顶</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非标的、过期的、缺少附件的、轻微损坏的。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安全带</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非标的、过期的、缺少附件的、轻微损坏的。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脚扣</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无法正常使用的。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登高板</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无法正常使用的。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绝缘</w:t>
            </w:r>
            <w:r/>
          </w:p>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手套</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副</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过期的、损坏的。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绝缘鞋</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双</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过期的、损坏的。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万用表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分别为外表无明显破损，未定期进行计量检定的和不能正常使用的。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钳形电流表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分别为外表无明显破损，未定期进行计量检定的和不能正常使用的。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兆欧表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分别为外表无明显破损，未定期进行计量检定的和不能正常使用的。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接地电阻测试仪</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分别为外表无明显破损，未定期进行计量检定的和不能正常使用的。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漏电保护器测试仪</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分别为外表无明显破损，未定期进行计量检定的和不能正常使用的。</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安全工器具存放柜</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lang w:val="en-US" w:eastAsia="zh-CN"/>
              </w:rPr>
              <w:t xml:space="preserve">1.</w:t>
            </w:r>
            <w:r>
              <w:rPr>
                <w:rFonts w:hint="eastAsia" w:asciiTheme="majorEastAsia" w:hAnsiTheme="majorEastAsia" w:eastAsiaTheme="majorEastAsia" w:cstheme="majorEastAsia"/>
                <w:color w:val="auto"/>
                <w:szCs w:val="21"/>
                <w:highlight w:val="none"/>
                <w:lang w:eastAsia="zh-CN"/>
              </w:rPr>
              <w:t xml:space="preserve">存放柜</w:t>
            </w:r>
            <w:r>
              <w:rPr>
                <w:rFonts w:hint="eastAsia" w:asciiTheme="majorEastAsia" w:hAnsiTheme="majorEastAsia" w:eastAsiaTheme="majorEastAsia" w:cstheme="majorEastAsia"/>
                <w:color w:val="auto"/>
                <w:szCs w:val="21"/>
                <w:highlight w:val="none"/>
                <w:lang w:val="en-US" w:eastAsia="zh-CN"/>
              </w:rPr>
              <w:t xml:space="preserve">尺寸≥</w:t>
            </w:r>
            <w:r>
              <w:rPr>
                <w:rFonts w:hint="eastAsia" w:asciiTheme="majorEastAsia" w:hAnsiTheme="majorEastAsia" w:eastAsiaTheme="majorEastAsia" w:cstheme="majorEastAsia"/>
                <w:color w:val="auto"/>
                <w:szCs w:val="21"/>
                <w:highlight w:val="none"/>
                <w:lang w:eastAsia="zh-CN"/>
              </w:rPr>
              <w:t xml:space="preserve">1</w:t>
            </w:r>
            <w:r>
              <w:rPr>
                <w:rFonts w:hint="eastAsia" w:asciiTheme="majorEastAsia" w:hAnsiTheme="majorEastAsia" w:eastAsiaTheme="majorEastAsia" w:cstheme="majorEastAsia"/>
                <w:color w:val="auto"/>
                <w:szCs w:val="21"/>
                <w:highlight w:val="none"/>
                <w:lang w:val="en-US" w:eastAsia="zh-CN"/>
              </w:rPr>
              <w:t xml:space="preserve">0</w:t>
            </w:r>
            <w:r>
              <w:rPr>
                <w:rFonts w:hint="eastAsia" w:asciiTheme="majorEastAsia" w:hAnsiTheme="majorEastAsia" w:eastAsiaTheme="majorEastAsia" w:cstheme="majorEastAsia"/>
                <w:color w:val="auto"/>
                <w:szCs w:val="21"/>
                <w:highlight w:val="none"/>
                <w:lang w:eastAsia="zh-CN"/>
              </w:rPr>
              <w:t xml:space="preserve">00</w:t>
            </w:r>
            <w:r>
              <w:rPr>
                <w:rFonts w:hint="eastAsia" w:asciiTheme="majorEastAsia" w:hAnsiTheme="majorEastAsia" w:eastAsiaTheme="majorEastAsia" w:cstheme="majorEastAsia"/>
                <w:color w:val="auto"/>
                <w:szCs w:val="21"/>
                <w:highlight w:val="none"/>
                <w:lang w:val="en-US" w:eastAsia="zh-CN"/>
              </w:rPr>
              <w:t xml:space="preserve">*</w:t>
            </w:r>
            <w:r>
              <w:rPr>
                <w:rFonts w:hint="eastAsia" w:asciiTheme="majorEastAsia" w:hAnsiTheme="majorEastAsia" w:eastAsiaTheme="majorEastAsia" w:cstheme="majorEastAsia"/>
                <w:color w:val="auto"/>
                <w:szCs w:val="21"/>
                <w:highlight w:val="none"/>
                <w:lang w:eastAsia="zh-CN"/>
              </w:rPr>
              <w:t xml:space="preserve">600</w:t>
            </w:r>
            <w:r>
              <w:rPr>
                <w:rFonts w:hint="eastAsia" w:asciiTheme="majorEastAsia" w:hAnsiTheme="majorEastAsia" w:eastAsiaTheme="majorEastAsia" w:cstheme="majorEastAsia"/>
                <w:color w:val="auto"/>
                <w:szCs w:val="21"/>
                <w:highlight w:val="none"/>
                <w:lang w:val="en-US" w:eastAsia="zh-CN"/>
              </w:rPr>
              <w:t xml:space="preserve">*</w:t>
            </w:r>
            <w:r>
              <w:rPr>
                <w:rFonts w:hint="eastAsia" w:asciiTheme="majorEastAsia" w:hAnsiTheme="majorEastAsia" w:eastAsiaTheme="majorEastAsia" w:cstheme="majorEastAsia"/>
                <w:color w:val="auto"/>
                <w:szCs w:val="21"/>
                <w:highlight w:val="none"/>
                <w:lang w:eastAsia="zh-CN"/>
              </w:rPr>
              <w:t xml:space="preserve">200</w:t>
            </w:r>
            <w:r>
              <w:rPr>
                <w:rFonts w:hint="eastAsia" w:asciiTheme="majorEastAsia" w:hAnsiTheme="majorEastAsia" w:eastAsiaTheme="majorEastAsia" w:cstheme="majorEastAsia"/>
                <w:color w:val="auto"/>
                <w:szCs w:val="21"/>
                <w:highlight w:val="none"/>
                <w:lang w:val="en-US" w:eastAsia="zh-CN"/>
              </w:rPr>
              <w:t xml:space="preserve">mm；</w:t>
            </w:r>
            <w:r>
              <w:rPr>
                <w:rFonts w:hint="eastAsia" w:asciiTheme="majorEastAsia" w:hAnsiTheme="majorEastAsia" w:eastAsiaTheme="majorEastAsia" w:cstheme="majorEastAsia"/>
                <w:color w:val="auto"/>
                <w:szCs w:val="21"/>
                <w:highlight w:val="none"/>
                <w:lang w:eastAsia="zh-CN"/>
              </w:rPr>
              <w:t xml:space="preserve">外壳或隔板包括门的闭锁器件、可抽出部件等应具有足够的机械强度，能承受正常使用时的应力。</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 xml:space="preserve">2.</w:t>
            </w:r>
            <w:r>
              <w:rPr>
                <w:rFonts w:hint="eastAsia" w:asciiTheme="majorEastAsia" w:hAnsiTheme="majorEastAsia" w:eastAsiaTheme="majorEastAsia" w:cstheme="majorEastAsia"/>
                <w:color w:val="auto"/>
                <w:szCs w:val="21"/>
                <w:highlight w:val="none"/>
                <w:lang w:eastAsia="zh-CN"/>
              </w:rPr>
              <w:t xml:space="preserve">安全工器具柜使用的绝缘材料应是阻燃的，遭受非正常发热或遇火后，不应失效或危及安全。</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仪器仪表</w:t>
            </w:r>
            <w:r>
              <w:rPr>
                <w:rFonts w:hint="eastAsia" w:asciiTheme="majorEastAsia" w:hAnsiTheme="majorEastAsia" w:eastAsiaTheme="majorEastAsia" w:cstheme="majorEastAsia"/>
                <w:sz w:val="21"/>
                <w:szCs w:val="21"/>
                <w:highlight w:val="none"/>
                <w:lang w:val="en-US" w:eastAsia="zh-CN"/>
              </w:rPr>
              <w:t xml:space="preserve">测试</w:t>
            </w:r>
            <w:r>
              <w:rPr>
                <w:rFonts w:hint="eastAsia" w:asciiTheme="majorEastAsia" w:hAnsiTheme="majorEastAsia" w:eastAsiaTheme="majorEastAsia" w:cstheme="majorEastAsia"/>
                <w:sz w:val="21"/>
                <w:szCs w:val="21"/>
                <w:highlight w:val="none"/>
                <w:lang w:eastAsia="zh-CN"/>
              </w:rPr>
              <w:t xml:space="preserve">台</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台</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一.设备要求</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二</w:t>
            </w:r>
            <w:r>
              <w:rPr>
                <w:rFonts w:hint="eastAsia" w:asciiTheme="majorEastAsia" w:hAnsiTheme="majorEastAsia" w:eastAsiaTheme="majorEastAsia" w:cstheme="majorEastAsia"/>
                <w:sz w:val="21"/>
                <w:szCs w:val="21"/>
                <w:highlight w:val="none"/>
                <w:lang w:eastAsia="zh-CN"/>
              </w:rPr>
              <w:t xml:space="preserve">.设备功能</w:t>
            </w:r>
            <w:r>
              <w:rPr>
                <w:rFonts w:hint="eastAsia" w:asciiTheme="majorEastAsia" w:hAnsiTheme="majorEastAsia" w:eastAsiaTheme="majorEastAsia" w:cstheme="majorEastAsia"/>
                <w:sz w:val="21"/>
                <w:szCs w:val="21"/>
                <w:highlight w:val="none"/>
                <w:lang w:val="en-US" w:eastAsia="zh-CN"/>
              </w:rPr>
              <w:t xml:space="preserve">要求</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1.应符合《通用用电设备配电设计规范》(GB50055)、《低压配电设计规范》(GB50054) 现行标准要求；</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2.应满足《安全生产考试机构和考试点管理规定》（应急〔2025〕41 号）要求，全部应采用实物化仪器仪表测量真实应用场景；</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3.应通过真实电气元件搭建不同测量电路，功能区应包括交直流电压测量区、电阻测试区、交流电流测量区、接地电阻测量区、绝缘电阻测量区及漏电保护测试区等；</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4.应具备综合类测量、绝缘电阻测量、接地电阻测量及漏电保护测量功能。</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三</w:t>
            </w:r>
            <w:r>
              <w:rPr>
                <w:rFonts w:hint="eastAsia" w:asciiTheme="majorEastAsia" w:hAnsiTheme="majorEastAsia" w:eastAsiaTheme="majorEastAsia" w:cstheme="majorEastAsia"/>
                <w:sz w:val="21"/>
                <w:szCs w:val="21"/>
                <w:highlight w:val="none"/>
                <w:lang w:val="en-US" w:eastAsia="zh-CN"/>
              </w:rPr>
              <w:t xml:space="preserve">.</w:t>
            </w:r>
            <w:r>
              <w:rPr>
                <w:rFonts w:hint="eastAsia" w:asciiTheme="majorEastAsia" w:hAnsiTheme="majorEastAsia" w:eastAsiaTheme="majorEastAsia" w:cstheme="majorEastAsia"/>
                <w:sz w:val="21"/>
                <w:szCs w:val="21"/>
                <w:highlight w:val="none"/>
                <w:lang w:eastAsia="zh-CN"/>
              </w:rPr>
              <w:t xml:space="preserve">智能考核</w:t>
            </w:r>
            <w:r>
              <w:rPr>
                <w:rFonts w:hint="eastAsia" w:asciiTheme="majorEastAsia" w:hAnsiTheme="majorEastAsia" w:eastAsiaTheme="majorEastAsia" w:cstheme="majorEastAsia"/>
                <w:sz w:val="21"/>
                <w:szCs w:val="21"/>
                <w:highlight w:val="none"/>
                <w:lang w:val="en-US" w:eastAsia="zh-CN"/>
              </w:rPr>
              <w:t xml:space="preserve">系统要求</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b/>
                <w:bCs/>
                <w:sz w:val="21"/>
                <w:szCs w:val="21"/>
                <w:highlight w:val="none"/>
                <w:lang w:val="en-US" w:eastAsia="zh-CN"/>
              </w:rPr>
              <w:t xml:space="preserve">▲</w:t>
            </w:r>
            <w:r>
              <w:rPr>
                <w:rFonts w:hint="eastAsia" w:asciiTheme="majorEastAsia" w:hAnsiTheme="majorEastAsia" w:eastAsiaTheme="majorEastAsia" w:cstheme="majorEastAsia"/>
                <w:b/>
                <w:bCs/>
                <w:sz w:val="21"/>
                <w:szCs w:val="21"/>
                <w:highlight w:val="none"/>
                <w:lang w:eastAsia="zh-CN"/>
              </w:rPr>
              <w:t xml:space="preserve">1.</w:t>
            </w:r>
            <w:r>
              <w:rPr>
                <w:rFonts w:hint="eastAsia" w:asciiTheme="majorEastAsia" w:hAnsiTheme="majorEastAsia" w:eastAsiaTheme="majorEastAsia" w:cstheme="majorEastAsia"/>
                <w:b/>
                <w:bCs/>
                <w:sz w:val="21"/>
                <w:szCs w:val="21"/>
                <w:highlight w:val="none"/>
                <w:lang w:val="en-US" w:eastAsia="zh-CN"/>
              </w:rPr>
              <w:t xml:space="preserve">应具备仪器仪表选择识别功能，系统</w:t>
            </w:r>
            <w:r>
              <w:rPr>
                <w:rFonts w:hint="eastAsia" w:asciiTheme="majorEastAsia" w:hAnsiTheme="majorEastAsia" w:eastAsiaTheme="majorEastAsia" w:cstheme="majorEastAsia"/>
                <w:b/>
                <w:bCs/>
                <w:sz w:val="21"/>
                <w:szCs w:val="21"/>
                <w:highlight w:val="none"/>
                <w:lang w:eastAsia="zh-CN"/>
              </w:rPr>
              <w:t xml:space="preserve">支持仪器仪表识别，</w:t>
            </w:r>
            <w:r>
              <w:rPr>
                <w:rFonts w:hint="eastAsia" w:asciiTheme="majorEastAsia" w:hAnsiTheme="majorEastAsia" w:eastAsiaTheme="majorEastAsia" w:cstheme="majorEastAsia"/>
                <w:b/>
                <w:bCs/>
                <w:sz w:val="21"/>
                <w:szCs w:val="21"/>
                <w:highlight w:val="none"/>
                <w:lang w:val="en-US" w:eastAsia="zh-CN"/>
              </w:rPr>
              <w:t xml:space="preserve">支持扩展仪表测量台和安全用具选择</w:t>
            </w:r>
            <w:r>
              <w:rPr>
                <w:rFonts w:hint="eastAsia" w:asciiTheme="majorEastAsia" w:hAnsiTheme="majorEastAsia" w:eastAsiaTheme="majorEastAsia" w:cstheme="majorEastAsia"/>
                <w:b/>
                <w:bCs/>
                <w:sz w:val="21"/>
                <w:szCs w:val="21"/>
                <w:highlight w:val="none"/>
                <w:lang w:eastAsia="zh-CN"/>
              </w:rPr>
              <w:t xml:space="preserve">自动切换或同时验证；考生从仪器仪表摆放架选取设备后，自动验证设备选择的正确性。</w:t>
            </w:r>
            <w:r>
              <w:rPr>
                <w:rFonts w:hint="eastAsia" w:asciiTheme="majorEastAsia" w:hAnsiTheme="majorEastAsia" w:eastAsiaTheme="majorEastAsia" w:cstheme="majorEastAsia"/>
                <w:b/>
                <w:bCs/>
                <w:sz w:val="21"/>
                <w:szCs w:val="21"/>
                <w:highlight w:val="none"/>
                <w:lang w:val="en-US" w:eastAsia="zh-CN"/>
              </w:rPr>
              <w:t xml:space="preserve">（投标文件应提供实物设备整体操作图片）</w:t>
            </w:r>
            <w:r>
              <w:rPr>
                <w:rFonts w:hint="eastAsia" w:asciiTheme="majorEastAsia" w:hAnsiTheme="majorEastAsia" w:eastAsiaTheme="majorEastAsia" w:cstheme="majorEastAsia"/>
                <w:sz w:val="21"/>
                <w:szCs w:val="21"/>
                <w:highlight w:val="none"/>
                <w:lang w:val="en-US" w:eastAsia="zh-CN"/>
              </w:rPr>
              <w:t xml:space="preserve">；</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2.</w:t>
            </w:r>
            <w:r>
              <w:rPr>
                <w:rFonts w:hint="eastAsia" w:asciiTheme="majorEastAsia" w:hAnsiTheme="majorEastAsia" w:eastAsiaTheme="majorEastAsia" w:cstheme="majorEastAsia"/>
                <w:sz w:val="21"/>
                <w:szCs w:val="21"/>
                <w:highlight w:val="none"/>
                <w:lang w:val="en-US" w:eastAsia="zh-CN"/>
              </w:rPr>
              <w:t xml:space="preserve">应具备随机出题功能，系统具备随机生成测量任务的功能，任务中的电阻、电压、电流等测量值支持制定和随机两种模式。（</w:t>
            </w:r>
            <w:r>
              <w:rPr>
                <w:rFonts w:hint="eastAsia" w:asciiTheme="majorEastAsia" w:hAnsiTheme="majorEastAsia" w:eastAsiaTheme="majorEastAsia" w:cstheme="majorEastAsia"/>
                <w:sz w:val="21"/>
                <w:szCs w:val="21"/>
                <w:highlight w:val="none"/>
                <w:lang w:eastAsia="zh-CN"/>
              </w:rPr>
              <w:t xml:space="preserve">投标文件</w:t>
            </w:r>
            <w:r>
              <w:rPr>
                <w:rFonts w:hint="eastAsia" w:asciiTheme="majorEastAsia" w:hAnsiTheme="majorEastAsia" w:eastAsiaTheme="majorEastAsia" w:cstheme="majorEastAsia"/>
                <w:sz w:val="21"/>
                <w:szCs w:val="21"/>
                <w:highlight w:val="none"/>
                <w:lang w:val="en-US" w:eastAsia="zh-CN"/>
              </w:rPr>
              <w:t xml:space="preserve">提供测量任务设定的系统截图作为佐证材料</w:t>
            </w:r>
            <w:r>
              <w:rPr>
                <w:rFonts w:hint="eastAsia" w:asciiTheme="majorEastAsia" w:hAnsiTheme="majorEastAsia" w:eastAsiaTheme="majorEastAsia" w:cstheme="majorEastAsia"/>
                <w:sz w:val="21"/>
                <w:szCs w:val="21"/>
                <w:highlight w:val="none"/>
                <w:lang w:eastAsia="zh-CN"/>
              </w:rPr>
              <w:t xml:space="preserve">，验证投标设备的功能完备性</w:t>
            </w:r>
            <w:r>
              <w:rPr>
                <w:rFonts w:hint="eastAsia" w:asciiTheme="majorEastAsia" w:hAnsiTheme="majorEastAsia" w:eastAsiaTheme="majorEastAsia" w:cstheme="majorEastAsia"/>
                <w:sz w:val="21"/>
                <w:szCs w:val="21"/>
                <w:highlight w:val="none"/>
                <w:lang w:val="en-US" w:eastAsia="zh-CN"/>
              </w:rPr>
              <w:t xml:space="preserve">）；</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摇表故障模拟功能需支持精准控制与随机设定两种模式。</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仪器仪表摆放架</w:t>
            </w:r>
            <w:r/>
          </w:p>
          <w:p>
            <w:pPr>
              <w:jc w:val="center"/>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一.设备要求</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eastAsia="zh-CN"/>
              </w:rPr>
              <w:t xml:space="preserve">1.架体尺寸应≤1320×640×1040mm（±50mm）。</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2.架体材质应采用经静电喷塑工艺处理的金属框架，具备防腐蚀、防锈蚀特性；台面应选用防滑绝缘材质，表面粗糙度应符合 GB/T1031-2009 标准。</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3.摆放架应配置成品物料盒用于仪器仪表陈列，物料盒内部有效尺寸应≥300mm×450mm×170mm；物料盒应具备防倾倒结构设计。</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二.功能要求</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eastAsia="zh-CN"/>
              </w:rPr>
              <w:t xml:space="preserve">1.摆放架作为仪器仪表测试的配套存储设备，应支持多架组合扩展模式，可依据实际需存储的仪器仪表数量灵活增配摆放架，以适配不同规模的存储需求。</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2.仪器仪表分类分区存储应采用模块化分区陈列设计，按仪器仪表的测量功能划分类别并对应专属存储区域；摆放架应实行物料盒标识管理，每个成品物料盒均应配备标准化标签卡槽，标签内容应明确对应所属存储区域的功能类别。</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电气安全标志考核装置</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一.设备要求</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1.整体尺寸≤2300*770*1850mmmm（±50mm），精准适配常规考核场地空间布局，保障设备部署灵活性与空间兼容性。；</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2.电源参数：功率 30-90W，待机功率≥2.5W；工作电压兼容 110-220V、50/60Hz。</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3.材质要求：主体采用经静电喷塑工艺处理的金属框架。</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功能</w:t>
            </w:r>
            <w:r>
              <w:rPr>
                <w:rFonts w:hint="eastAsia" w:asciiTheme="majorEastAsia" w:hAnsiTheme="majorEastAsia" w:eastAsiaTheme="majorEastAsia" w:cstheme="majorEastAsia"/>
                <w:sz w:val="21"/>
                <w:szCs w:val="21"/>
                <w:highlight w:val="none"/>
                <w:lang w:val="en-US" w:eastAsia="zh-CN"/>
              </w:rPr>
              <w:t xml:space="preserve">要求</w:t>
            </w:r>
            <w:r>
              <w:rPr>
                <w:rFonts w:hint="eastAsia" w:asciiTheme="majorEastAsia" w:hAnsiTheme="majorEastAsia" w:eastAsiaTheme="majorEastAsia" w:cstheme="majorEastAsia"/>
                <w:sz w:val="21"/>
                <w:szCs w:val="21"/>
                <w:highlight w:val="none"/>
                <w:lang w:eastAsia="zh-CN"/>
              </w:rPr>
              <w:br/>
            </w:r>
            <w:r>
              <w:rPr>
                <w:rFonts w:hint="eastAsia" w:asciiTheme="majorEastAsia" w:hAnsiTheme="majorEastAsia" w:eastAsiaTheme="majorEastAsia" w:cstheme="majorEastAsia"/>
                <w:sz w:val="21"/>
                <w:szCs w:val="21"/>
                <w:highlight w:val="none"/>
                <w:lang w:eastAsia="zh-CN"/>
              </w:rPr>
              <w:t xml:space="preserve">1.显示屏模块：考生触摸安全标志灯箱触发答题，系统需实时关联三维作业场景，实现 “实物操作+场景化考核”；</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2.标志牌灯箱模块：按 GB/T29481 标准布置四类标志（禁止≥9 个、指令≥8 个、警告≥9 个、提示≥6 个）</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三.</w:t>
            </w:r>
            <w:r>
              <w:rPr>
                <w:rFonts w:hint="eastAsia" w:asciiTheme="majorEastAsia" w:hAnsiTheme="majorEastAsia" w:eastAsiaTheme="majorEastAsia" w:cstheme="majorEastAsia"/>
                <w:sz w:val="21"/>
                <w:szCs w:val="21"/>
                <w:highlight w:val="none"/>
                <w:lang w:val="en-US" w:eastAsia="zh-CN"/>
              </w:rPr>
              <w:t xml:space="preserve">智能考核系统功能要求</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1.考生自助答题，系统自动采集数据并智能评分；</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2.内置标准化题库，单选≥3个备选项，支持灵活配置规则的自动组卷（随机抽 5 题）及自动判分。（需提供功能演示视频，验证功能有效性）</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eastAsia="zh-CN"/>
              </w:rPr>
              <w:t xml:space="preserve">3.设备支持场景交互式考核：场景需至少支持工厂配电房、居民区配电房、变电站、户外检修作业3D场景的交互式考核。</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eastAsia="zh-CN"/>
              </w:rPr>
              <w:t xml:space="preserve">4.设备支持智能评分、人工判分模式，覆盖成绩汇总管理，适配作业考试大纲考核内容，满足不同场景评分需求</w:t>
            </w:r>
            <w:r>
              <w:rPr>
                <w:rFonts w:hint="eastAsia" w:asciiTheme="majorEastAsia" w:hAnsiTheme="majorEastAsia" w:eastAsiaTheme="majorEastAsia" w:cstheme="majorEastAsia"/>
                <w:sz w:val="21"/>
                <w:szCs w:val="21"/>
                <w:highlight w:val="none"/>
                <w:lang w:val="en-US" w:eastAsia="zh-CN"/>
              </w:rPr>
              <w:t xml:space="preserve">。</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速差自控器(防坠器)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1.结构：双重锁止结构。</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2.组成：U型环吊、坚固螺丝、合金钢罩壳、阻燃绳、防撞皮垫、防旋转钢丝绳、PVC保护套、上挂钩、下挂钩。</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3.尺寸：安全绳</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5米，承重：</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300kg。</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4.材质：合金钢</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安全防护垫</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1.厚度：≥30cm。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2.材质：外皮加厚防水PVC刀刮布，内部高密度海绵</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绝缘垫</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 xml:space="preserve">1.适用电压：≥10kV。</w:t>
            </w:r>
            <w:r/>
          </w:p>
          <w:p>
            <w:pPr>
              <w:jc w:val="left"/>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lang w:val="en-US" w:eastAsia="zh-CN"/>
              </w:rPr>
              <w:t xml:space="preserve">2.</w:t>
            </w:r>
            <w:r>
              <w:rPr>
                <w:rFonts w:hint="eastAsia" w:asciiTheme="majorEastAsia" w:hAnsiTheme="majorEastAsia" w:eastAsiaTheme="majorEastAsia" w:cstheme="majorEastAsia"/>
                <w:color w:val="auto"/>
                <w:szCs w:val="21"/>
                <w:highlight w:val="none"/>
                <w:lang w:eastAsia="zh-CN"/>
              </w:rPr>
              <w:t xml:space="preserve">厚度：≥</w:t>
            </w:r>
            <w:r>
              <w:rPr>
                <w:rFonts w:hint="eastAsia" w:asciiTheme="majorEastAsia" w:hAnsiTheme="majorEastAsia" w:eastAsiaTheme="majorEastAsia" w:cstheme="majorEastAsia"/>
                <w:color w:val="auto"/>
                <w:szCs w:val="21"/>
                <w:highlight w:val="none"/>
                <w:lang w:val="en-US" w:eastAsia="zh-CN"/>
              </w:rPr>
              <w:t xml:space="preserve">1.5</w:t>
            </w:r>
            <w:r>
              <w:rPr>
                <w:rFonts w:hint="eastAsia" w:asciiTheme="majorEastAsia" w:hAnsiTheme="majorEastAsia" w:eastAsiaTheme="majorEastAsia" w:cstheme="majorEastAsia"/>
                <w:color w:val="auto"/>
                <w:szCs w:val="21"/>
                <w:highlight w:val="none"/>
                <w:lang w:eastAsia="zh-CN"/>
              </w:rPr>
              <w:t xml:space="preserve">mm；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auto"/>
                <w:szCs w:val="21"/>
                <w:highlight w:val="none"/>
                <w:lang w:val="en-US" w:eastAsia="zh-CN"/>
              </w:rPr>
              <w:t xml:space="preserve">3.颜色：黑色；材质：绝缘橡胶。</w:t>
            </w:r>
            <w:r/>
          </w:p>
        </w:tc>
      </w:tr>
      <w:tr>
        <w:trPr>
          <w:jc w:val="center"/>
          <w:trHeight w:val="0"/>
        </w:trPr>
        <w:tc>
          <w:tcPr>
            <w:shd w:val="clear" w:color="auto" w:fill="auto"/>
            <w:tcW w:w="958"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科目二</w:t>
            </w:r>
            <w:r/>
          </w:p>
        </w:tc>
        <w:tc>
          <w:tcPr>
            <w:shd w:val="clear" w:color="auto" w:fill="auto"/>
            <w:tcW w:w="615"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K21</w:t>
            </w:r>
            <w:r/>
          </w:p>
        </w:tc>
        <w:tc>
          <w:tcPr>
            <w:shd w:val="clear" w:color="auto" w:fill="auto"/>
            <w:tcW w:w="2475" w:type="dxa"/>
            <w:vAlign w:val="center"/>
            <w:vMerge w:val="restart"/>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低压电工K21作业现场安全隐患排除实操考核设备</w:t>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作业现场安全隐患排除设备设施</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涵盖低压电工作业的场景（场景含隐患点）。具体包含临时用电风险隐患场景、电工登杆作业风险隐患场景，供考生进行观察、指认及隐患点辨识，覆盖考试标准评分要点。</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电力安全工器具</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rPr>
            </w:pPr>
            <w:r>
              <w:rPr>
                <w:rFonts w:hint="eastAsia" w:asciiTheme="majorEastAsia" w:hAnsiTheme="majorEastAsia" w:eastAsiaTheme="majorEastAsia" w:cstheme="majorEastAsia"/>
                <w:sz w:val="21"/>
                <w:szCs w:val="21"/>
                <w:highlight w:val="none"/>
                <w:lang w:val="en-US"/>
              </w:rPr>
              <w:t xml:space="preserve">1.低压验电笔</w:t>
            </w:r>
            <w:r>
              <w:rPr>
                <w:rFonts w:hint="eastAsia" w:asciiTheme="majorEastAsia" w:hAnsiTheme="majorEastAsia" w:eastAsiaTheme="majorEastAsia" w:cstheme="majorEastAsia"/>
                <w:sz w:val="21"/>
                <w:szCs w:val="21"/>
                <w:highlight w:val="none"/>
                <w:lang w:val="en-US" w:eastAsia="zh-CN"/>
              </w:rPr>
              <w:t xml:space="preserve">，</w:t>
            </w:r>
            <w:r>
              <w:rPr>
                <w:rFonts w:hint="eastAsia" w:asciiTheme="majorEastAsia" w:hAnsiTheme="majorEastAsia" w:eastAsiaTheme="majorEastAsia" w:cstheme="majorEastAsia"/>
                <w:sz w:val="21"/>
                <w:szCs w:val="21"/>
                <w:highlight w:val="none"/>
                <w:lang w:val="en-US"/>
              </w:rPr>
              <w:t xml:space="preserve">测量范围：500V及以下；</w:t>
            </w:r>
            <w:r>
              <w:rPr>
                <w:rFonts w:hint="eastAsia" w:asciiTheme="majorEastAsia" w:hAnsiTheme="majorEastAsia" w:eastAsiaTheme="majorEastAsia" w:cstheme="majorEastAsia"/>
                <w:sz w:val="21"/>
                <w:szCs w:val="21"/>
                <w:highlight w:val="none"/>
                <w:lang w:val="en-US" w:eastAsia="zh-CN"/>
              </w:rPr>
              <w:t xml:space="preserve">应符合</w:t>
            </w:r>
            <w:r>
              <w:rPr>
                <w:rFonts w:hint="eastAsia" w:asciiTheme="majorEastAsia" w:hAnsiTheme="majorEastAsia" w:eastAsiaTheme="majorEastAsia" w:cstheme="majorEastAsia"/>
                <w:sz w:val="21"/>
                <w:szCs w:val="21"/>
                <w:highlight w:val="none"/>
                <w:lang w:val="en-US"/>
              </w:rPr>
              <w:t xml:space="preserve">现行标准《测量、控制和实验室用电气设备的安全要求 第1部分：通用要求》（GB 4793.1）的有关要求。</w:t>
            </w:r>
            <w:r/>
          </w:p>
          <w:p>
            <w:pPr>
              <w:jc w:val="left"/>
              <w:rPr>
                <w:rFonts w:hint="eastAsia" w:asciiTheme="majorEastAsia" w:hAnsiTheme="majorEastAsia" w:eastAsiaTheme="majorEastAsia" w:cstheme="majorEastAsia"/>
                <w:sz w:val="21"/>
                <w:szCs w:val="21"/>
                <w:highlight w:val="none"/>
                <w:lang w:val="en-US"/>
              </w:rPr>
            </w:pPr>
            <w:r>
              <w:rPr>
                <w:rFonts w:hint="eastAsia" w:asciiTheme="majorEastAsia" w:hAnsiTheme="majorEastAsia" w:eastAsiaTheme="majorEastAsia" w:cstheme="majorEastAsia"/>
                <w:sz w:val="21"/>
                <w:szCs w:val="21"/>
                <w:highlight w:val="none"/>
                <w:lang w:val="en-US"/>
              </w:rPr>
              <w:t xml:space="preserve">2.绝缘手套</w:t>
            </w:r>
            <w:r>
              <w:rPr>
                <w:rFonts w:hint="eastAsia" w:asciiTheme="majorEastAsia" w:hAnsiTheme="majorEastAsia" w:eastAsiaTheme="majorEastAsia" w:cstheme="majorEastAsia"/>
                <w:sz w:val="21"/>
                <w:szCs w:val="21"/>
                <w:highlight w:val="none"/>
                <w:lang w:val="en-US" w:eastAsia="zh-CN"/>
              </w:rPr>
              <w:t xml:space="preserve">，应符合</w:t>
            </w:r>
            <w:r>
              <w:rPr>
                <w:rFonts w:hint="eastAsia" w:asciiTheme="majorEastAsia" w:hAnsiTheme="majorEastAsia" w:eastAsiaTheme="majorEastAsia" w:cstheme="majorEastAsia"/>
                <w:sz w:val="21"/>
                <w:szCs w:val="21"/>
                <w:highlight w:val="none"/>
                <w:lang w:val="en-US"/>
              </w:rPr>
              <w:t xml:space="preserve">现行标准《带电作业用绝缘手套》(GB/T 17622)的有关要求。</w:t>
            </w:r>
            <w:r/>
          </w:p>
          <w:p>
            <w:pPr>
              <w:jc w:val="left"/>
              <w:rPr>
                <w:rFonts w:hint="eastAsia" w:asciiTheme="majorEastAsia" w:hAnsiTheme="majorEastAsia" w:eastAsiaTheme="majorEastAsia" w:cstheme="majorEastAsia"/>
                <w:sz w:val="21"/>
                <w:szCs w:val="21"/>
                <w:highlight w:val="none"/>
                <w:lang w:val="en-US"/>
              </w:rPr>
            </w:pPr>
            <w:r>
              <w:rPr>
                <w:rFonts w:hint="eastAsia" w:asciiTheme="majorEastAsia" w:hAnsiTheme="majorEastAsia" w:eastAsiaTheme="majorEastAsia" w:cstheme="majorEastAsia"/>
                <w:sz w:val="21"/>
                <w:szCs w:val="21"/>
                <w:highlight w:val="none"/>
                <w:lang w:val="en-US"/>
              </w:rPr>
              <w:t xml:space="preserve">3.绝缘鞋</w:t>
            </w:r>
            <w:r>
              <w:rPr>
                <w:rFonts w:hint="eastAsia" w:asciiTheme="majorEastAsia" w:hAnsiTheme="majorEastAsia" w:eastAsiaTheme="majorEastAsia" w:cstheme="majorEastAsia"/>
                <w:sz w:val="21"/>
                <w:szCs w:val="21"/>
                <w:highlight w:val="none"/>
                <w:lang w:val="en-US" w:eastAsia="zh-CN"/>
              </w:rPr>
              <w:t xml:space="preserve">应符合</w:t>
            </w:r>
            <w:r>
              <w:rPr>
                <w:rFonts w:hint="eastAsia" w:asciiTheme="majorEastAsia" w:hAnsiTheme="majorEastAsia" w:eastAsiaTheme="majorEastAsia" w:cstheme="majorEastAsia"/>
                <w:sz w:val="21"/>
                <w:szCs w:val="21"/>
                <w:highlight w:val="none"/>
                <w:lang w:val="en-US"/>
              </w:rPr>
              <w:t xml:space="preserve">现行标准《足部防护安全鞋》(GB 21148)的有关要求。</w:t>
            </w:r>
            <w:r/>
          </w:p>
          <w:p>
            <w:pPr>
              <w:jc w:val="left"/>
              <w:rPr>
                <w:rFonts w:hint="eastAsia" w:asciiTheme="majorEastAsia" w:hAnsiTheme="majorEastAsia" w:eastAsiaTheme="majorEastAsia" w:cstheme="majorEastAsia"/>
                <w:sz w:val="21"/>
                <w:szCs w:val="21"/>
                <w:highlight w:val="none"/>
                <w:lang w:val="en-US"/>
              </w:rPr>
            </w:pPr>
            <w:r>
              <w:rPr>
                <w:rFonts w:hint="eastAsia" w:asciiTheme="majorEastAsia" w:hAnsiTheme="majorEastAsia" w:eastAsiaTheme="majorEastAsia" w:cstheme="majorEastAsia"/>
                <w:sz w:val="21"/>
                <w:szCs w:val="21"/>
                <w:highlight w:val="none"/>
                <w:lang w:val="en-US"/>
              </w:rPr>
              <w:t xml:space="preserve">4.安全帽</w:t>
            </w:r>
            <w:r>
              <w:rPr>
                <w:rFonts w:hint="eastAsia" w:asciiTheme="majorEastAsia" w:hAnsiTheme="majorEastAsia" w:eastAsiaTheme="majorEastAsia" w:cstheme="majorEastAsia"/>
                <w:sz w:val="21"/>
                <w:szCs w:val="21"/>
                <w:highlight w:val="none"/>
                <w:lang w:val="en-US" w:eastAsia="zh-CN"/>
              </w:rPr>
              <w:t xml:space="preserve">，应符合</w:t>
            </w:r>
            <w:r>
              <w:rPr>
                <w:rFonts w:hint="eastAsia" w:asciiTheme="majorEastAsia" w:hAnsiTheme="majorEastAsia" w:eastAsiaTheme="majorEastAsia" w:cstheme="majorEastAsia"/>
                <w:sz w:val="21"/>
                <w:szCs w:val="21"/>
                <w:highlight w:val="none"/>
                <w:lang w:val="en-US"/>
              </w:rPr>
              <w:t xml:space="preserve">现行标准《头部防护安全帽》(GB 2811)的有关要求。</w:t>
            </w:r>
            <w:r/>
          </w:p>
          <w:p>
            <w:pPr>
              <w:jc w:val="left"/>
              <w:rPr>
                <w:rFonts w:hint="eastAsia" w:asciiTheme="majorEastAsia" w:hAnsiTheme="majorEastAsia" w:eastAsiaTheme="majorEastAsia" w:cstheme="majorEastAsia"/>
                <w:sz w:val="21"/>
                <w:szCs w:val="21"/>
                <w:highlight w:val="none"/>
                <w:lang w:val="en-US"/>
              </w:rPr>
            </w:pPr>
            <w:r>
              <w:rPr>
                <w:rFonts w:hint="eastAsia" w:asciiTheme="majorEastAsia" w:hAnsiTheme="majorEastAsia" w:eastAsiaTheme="majorEastAsia" w:cstheme="majorEastAsia"/>
                <w:sz w:val="21"/>
                <w:szCs w:val="21"/>
                <w:highlight w:val="none"/>
                <w:lang w:val="en-US"/>
              </w:rPr>
              <w:t xml:space="preserve">5.防护眼镜</w:t>
            </w:r>
            <w:r>
              <w:rPr>
                <w:rFonts w:hint="eastAsia" w:asciiTheme="majorEastAsia" w:hAnsiTheme="majorEastAsia" w:eastAsiaTheme="majorEastAsia" w:cstheme="majorEastAsia"/>
                <w:sz w:val="21"/>
                <w:szCs w:val="21"/>
                <w:highlight w:val="none"/>
                <w:lang w:val="en-US" w:eastAsia="zh-CN"/>
              </w:rPr>
              <w:t xml:space="preserve">，应符合</w:t>
            </w:r>
            <w:r>
              <w:rPr>
                <w:rFonts w:hint="eastAsia" w:asciiTheme="majorEastAsia" w:hAnsiTheme="majorEastAsia" w:eastAsiaTheme="majorEastAsia" w:cstheme="majorEastAsia"/>
                <w:sz w:val="21"/>
                <w:szCs w:val="21"/>
                <w:highlight w:val="none"/>
                <w:lang w:val="en-US"/>
              </w:rPr>
              <w:t xml:space="preserve">现行标准《眼面防护具通用技术规范》(GB 14866)的有关要求。</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rPr>
              <w:t xml:space="preserve">6.工具袋</w:t>
            </w:r>
            <w:r>
              <w:rPr>
                <w:rFonts w:hint="eastAsia" w:asciiTheme="majorEastAsia" w:hAnsiTheme="majorEastAsia" w:eastAsiaTheme="majorEastAsia" w:cstheme="majorEastAsia"/>
                <w:sz w:val="21"/>
                <w:szCs w:val="21"/>
                <w:highlight w:val="none"/>
                <w:lang w:val="en-US" w:eastAsia="zh-CN"/>
              </w:rPr>
              <w:t xml:space="preserve">含</w:t>
            </w:r>
            <w:r>
              <w:rPr>
                <w:rFonts w:hint="eastAsia" w:asciiTheme="majorEastAsia" w:hAnsiTheme="majorEastAsia" w:eastAsiaTheme="majorEastAsia" w:cstheme="majorEastAsia"/>
                <w:sz w:val="21"/>
                <w:szCs w:val="21"/>
                <w:highlight w:val="none"/>
                <w:lang w:val="en-US"/>
              </w:rPr>
              <w:t xml:space="preserve">电工通用工具1套</w:t>
            </w:r>
            <w:r>
              <w:rPr>
                <w:rFonts w:hint="eastAsia" w:asciiTheme="majorEastAsia" w:hAnsiTheme="majorEastAsia" w:eastAsiaTheme="majorEastAsia" w:cstheme="majorEastAsia"/>
                <w:sz w:val="21"/>
                <w:szCs w:val="21"/>
                <w:highlight w:val="none"/>
                <w:lang w:val="en-US" w:eastAsia="zh-CN"/>
              </w:rPr>
              <w:t xml:space="preserve">：</w:t>
            </w:r>
            <w:r>
              <w:rPr>
                <w:rFonts w:hint="eastAsia" w:asciiTheme="majorEastAsia" w:hAnsiTheme="majorEastAsia" w:eastAsiaTheme="majorEastAsia" w:cstheme="majorEastAsia"/>
                <w:sz w:val="21"/>
                <w:szCs w:val="21"/>
                <w:highlight w:val="none"/>
                <w:lang w:val="en-US"/>
              </w:rPr>
              <w:t xml:space="preserve">一字螺丝刀、十字螺丝刀、尖嘴钳、钢丝钳、扳手、工具刀。</w:t>
            </w:r>
            <w:r/>
          </w:p>
        </w:tc>
      </w:tr>
      <w:tr>
        <w:trPr>
          <w:jc w:val="center"/>
          <w:trHeight w:val="0"/>
        </w:trPr>
        <w:tc>
          <w:tcPr>
            <w:shd w:val="clear" w:color="auto" w:fill="auto"/>
            <w:tcW w:w="958"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科目三</w:t>
            </w:r>
            <w:r/>
          </w:p>
        </w:tc>
        <w:tc>
          <w:tcPr>
            <w:shd w:val="clear" w:color="auto" w:fill="auto"/>
            <w:tcW w:w="615"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K31</w:t>
            </w:r>
            <w:r/>
          </w:p>
        </w:tc>
        <w:tc>
          <w:tcPr>
            <w:shd w:val="clear" w:color="auto" w:fill="auto"/>
            <w:tcW w:w="2475" w:type="dxa"/>
            <w:vAlign w:val="center"/>
            <w:vMerge w:val="restart"/>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低压电工K31电气设备安装实操考核设备</w:t>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电气设备安装实操装置</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rPr>
            </w:pPr>
            <w:r>
              <w:rPr>
                <w:rFonts w:hint="eastAsia" w:asciiTheme="majorEastAsia" w:hAnsiTheme="majorEastAsia" w:eastAsiaTheme="majorEastAsia" w:cstheme="majorEastAsia"/>
                <w:sz w:val="21"/>
                <w:szCs w:val="21"/>
                <w:highlight w:val="none"/>
                <w:lang w:val="en-US" w:eastAsia="zh-CN"/>
              </w:rPr>
              <w:t xml:space="preserve">在原设备上升级后需满足：</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rPr>
              <w:t xml:space="preserve">一、</w:t>
            </w:r>
            <w:r>
              <w:rPr>
                <w:rFonts w:hint="eastAsia" w:asciiTheme="majorEastAsia" w:hAnsiTheme="majorEastAsia" w:eastAsiaTheme="majorEastAsia" w:cstheme="majorEastAsia"/>
                <w:sz w:val="21"/>
                <w:szCs w:val="21"/>
                <w:highlight w:val="none"/>
                <w:lang w:eastAsia="zh-CN"/>
              </w:rPr>
              <w:t xml:space="preserve">设备</w:t>
            </w:r>
            <w:r>
              <w:rPr>
                <w:rFonts w:hint="eastAsia" w:asciiTheme="majorEastAsia" w:hAnsiTheme="majorEastAsia" w:eastAsiaTheme="majorEastAsia" w:cstheme="majorEastAsia"/>
                <w:sz w:val="21"/>
                <w:szCs w:val="21"/>
                <w:highlight w:val="none"/>
                <w:lang w:val="en-US" w:eastAsia="zh-CN"/>
              </w:rPr>
              <w:t xml:space="preserve">基本</w:t>
            </w:r>
            <w:r>
              <w:rPr>
                <w:rFonts w:hint="eastAsia" w:asciiTheme="majorEastAsia" w:hAnsiTheme="majorEastAsia" w:eastAsiaTheme="majorEastAsia" w:cstheme="majorEastAsia"/>
                <w:sz w:val="21"/>
                <w:szCs w:val="21"/>
                <w:highlight w:val="none"/>
                <w:lang w:eastAsia="zh-CN"/>
              </w:rPr>
              <w:t xml:space="preserve">要求：</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1.电气规格应满足：输入电压为三相五线制 380V±10%，输出电压应含 380V、36V、220V，设备功耗应≥1200W。</w:t>
            </w:r>
            <w:r/>
          </w:p>
          <w:p>
            <w:pPr>
              <w:jc w:val="left"/>
              <w:rPr>
                <w:rFonts w:hint="eastAsia" w:asciiTheme="majorEastAsia" w:hAnsiTheme="majorEastAsia" w:eastAsiaTheme="majorEastAsia" w:cstheme="majorEastAsia"/>
                <w:sz w:val="21"/>
                <w:szCs w:val="21"/>
                <w:highlight w:val="none"/>
                <w:lang w:eastAsia="zh-CN"/>
              </w:rPr>
            </w:pPr>
            <w:r>
              <w:rPr>
                <w:rFonts w:hint="eastAsia" w:asciiTheme="majorEastAsia" w:hAnsiTheme="majorEastAsia" w:eastAsiaTheme="majorEastAsia" w:cstheme="majorEastAsia"/>
                <w:sz w:val="21"/>
                <w:szCs w:val="21"/>
                <w:highlight w:val="none"/>
                <w:lang w:val="en-US" w:eastAsia="zh-CN"/>
              </w:rPr>
              <w:t xml:space="preserve">二、操作台结构要求</w:t>
            </w:r>
            <w:r>
              <w:rPr>
                <w:rFonts w:hint="eastAsia" w:asciiTheme="majorEastAsia" w:hAnsiTheme="majorEastAsia" w:eastAsiaTheme="majorEastAsia" w:cstheme="majorEastAsia"/>
                <w:sz w:val="21"/>
                <w:szCs w:val="21"/>
                <w:highlight w:val="none"/>
                <w:lang w:eastAsia="zh-CN"/>
              </w:rPr>
              <w:t xml:space="preserve">：操作台应集成公共操作、显示交互、考生操作等功能区域，配置元器件收纳抽屉；应设可拆式考试信息 LED 显示屏及监控摄像区，支持考试信息显示与考生操作实时监控追溯。</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三</w:t>
            </w:r>
            <w:r>
              <w:rPr>
                <w:rFonts w:hint="eastAsia" w:asciiTheme="majorEastAsia" w:hAnsiTheme="majorEastAsia" w:eastAsiaTheme="majorEastAsia" w:cstheme="majorEastAsia"/>
                <w:sz w:val="21"/>
                <w:szCs w:val="21"/>
                <w:highlight w:val="none"/>
              </w:rPr>
              <w:t xml:space="preserve">、功能要求：</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1.网孔板应作为实操线路接线标准化载体，支持考生自主完成元器件选型、安装与接线操作。</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四</w:t>
            </w:r>
            <w:r>
              <w:rPr>
                <w:rFonts w:hint="eastAsia" w:asciiTheme="majorEastAsia" w:hAnsiTheme="majorEastAsia" w:eastAsiaTheme="majorEastAsia" w:cstheme="majorEastAsia"/>
                <w:sz w:val="21"/>
                <w:szCs w:val="21"/>
                <w:highlight w:val="none"/>
              </w:rPr>
              <w:t xml:space="preserve">、</w:t>
            </w:r>
            <w:r>
              <w:rPr>
                <w:rFonts w:hint="eastAsia" w:asciiTheme="majorEastAsia" w:hAnsiTheme="majorEastAsia" w:eastAsiaTheme="majorEastAsia" w:cstheme="majorEastAsia"/>
                <w:sz w:val="21"/>
                <w:szCs w:val="21"/>
                <w:highlight w:val="none"/>
                <w:lang w:val="en-US" w:eastAsia="zh-CN"/>
              </w:rPr>
              <w:t xml:space="preserve">电气设备安装实操</w:t>
            </w:r>
            <w:r>
              <w:rPr>
                <w:rFonts w:hint="eastAsia" w:asciiTheme="majorEastAsia" w:hAnsiTheme="majorEastAsia" w:eastAsiaTheme="majorEastAsia" w:cstheme="majorEastAsia"/>
                <w:sz w:val="21"/>
                <w:szCs w:val="21"/>
                <w:highlight w:val="none"/>
                <w:lang w:eastAsia="zh-CN"/>
              </w:rPr>
              <w:t xml:space="preserve">智能考核系统</w:t>
            </w:r>
            <w:r>
              <w:rPr>
                <w:rFonts w:hint="eastAsia" w:asciiTheme="majorEastAsia" w:hAnsiTheme="majorEastAsia" w:eastAsiaTheme="majorEastAsia" w:cstheme="majorEastAsia"/>
                <w:sz w:val="21"/>
                <w:szCs w:val="21"/>
                <w:highlight w:val="none"/>
              </w:rPr>
              <w:t xml:space="preserve">​</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t xml:space="preserve">1.</w:t>
            </w:r>
            <w:r>
              <w:rPr>
                <w:rFonts w:hint="eastAsia" w:asciiTheme="majorEastAsia" w:hAnsiTheme="majorEastAsia" w:eastAsiaTheme="majorEastAsia" w:cstheme="majorEastAsia"/>
                <w:sz w:val="21"/>
                <w:szCs w:val="21"/>
                <w:highlight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rPr>
              <w:t xml:space="preserve">支持时间管理：</w:t>
            </w:r>
            <w:r>
              <w:rPr>
                <w:rFonts w:hint="eastAsia" w:asciiTheme="majorEastAsia" w:hAnsiTheme="majorEastAsia" w:eastAsiaTheme="majorEastAsia" w:cstheme="majorEastAsia"/>
                <w:sz w:val="21"/>
                <w:szCs w:val="21"/>
                <w:highlight w:val="none"/>
                <w:lang w:val="en-US" w:eastAsia="zh-CN"/>
              </w:rPr>
              <w:t xml:space="preserve">考试信息LED显示</w:t>
            </w:r>
            <w:r>
              <w:rPr>
                <w:rFonts w:hint="eastAsia" w:asciiTheme="majorEastAsia" w:hAnsiTheme="majorEastAsia" w:eastAsiaTheme="majorEastAsia" w:cstheme="majorEastAsia"/>
                <w:sz w:val="21"/>
                <w:szCs w:val="21"/>
                <w:highlight w:val="none"/>
              </w:rPr>
              <w:t xml:space="preserve">屏幕实时显示考核倒计时，精准控制考试时长，确保考核时间维度的公正性；</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3.应实现实操过程中考生不需要操作软件，实现全程无感识别，更加符合实际作业情况；</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4</w:t>
            </w:r>
            <w:r>
              <w:rPr>
                <w:rFonts w:hint="eastAsia" w:asciiTheme="majorEastAsia" w:hAnsiTheme="majorEastAsia" w:eastAsiaTheme="majorEastAsia" w:cstheme="majorEastAsia"/>
                <w:sz w:val="21"/>
                <w:szCs w:val="21"/>
                <w:highlight w:val="none"/>
              </w:rPr>
              <w:t xml:space="preserve">.支持身份认证：支持身份证号及准考证号登录，自动关联考生信息、调取并显示考试电路图；</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5.</w:t>
            </w:r>
            <w:r>
              <w:rPr>
                <w:rFonts w:hint="eastAsia" w:asciiTheme="majorEastAsia" w:hAnsiTheme="majorEastAsia" w:eastAsiaTheme="majorEastAsia" w:cstheme="majorEastAsia"/>
                <w:sz w:val="21"/>
                <w:szCs w:val="21"/>
                <w:highlight w:val="none"/>
              </w:rPr>
              <w:t xml:space="preserve">搭载智能考核系统，</w:t>
            </w:r>
            <w:r>
              <w:rPr>
                <w:rFonts w:hint="eastAsia" w:asciiTheme="majorEastAsia" w:hAnsiTheme="majorEastAsia" w:eastAsiaTheme="majorEastAsia" w:cstheme="majorEastAsia"/>
                <w:sz w:val="21"/>
                <w:szCs w:val="21"/>
                <w:highlight w:val="none"/>
                <w:lang w:val="en-US" w:eastAsia="zh-CN"/>
              </w:rPr>
              <w:t xml:space="preserve">系统支持</w:t>
            </w:r>
            <w:r>
              <w:rPr>
                <w:rFonts w:hint="eastAsia" w:asciiTheme="majorEastAsia" w:hAnsiTheme="majorEastAsia" w:eastAsiaTheme="majorEastAsia" w:cstheme="majorEastAsia"/>
                <w:sz w:val="21"/>
                <w:szCs w:val="21"/>
                <w:highlight w:val="none"/>
              </w:rPr>
              <w:t xml:space="preserve">随机抽题组卷、考题电路图高清展示等功能，通过可视化交互界面，构建管控于一体的信息化考核平台</w:t>
            </w:r>
            <w:r>
              <w:rPr>
                <w:rFonts w:hint="eastAsia" w:asciiTheme="majorEastAsia" w:hAnsiTheme="majorEastAsia" w:eastAsiaTheme="majorEastAsia" w:cstheme="majorEastAsia"/>
                <w:sz w:val="21"/>
                <w:szCs w:val="21"/>
                <w:highlight w:val="none"/>
                <w:lang w:eastAsia="zh-CN"/>
              </w:rPr>
              <w:t xml:space="preserve">。</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器材摆放架</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1.材质：钢，承重：约100-500Kg。</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color w:val="auto"/>
                <w:szCs w:val="21"/>
                <w:highlight w:val="none"/>
                <w:lang w:val="en-US" w:eastAsia="zh-CN"/>
              </w:rPr>
              <w:t xml:space="preserve">轻型</w:t>
            </w:r>
            <w:r>
              <w:rPr>
                <w:rFonts w:hint="eastAsia" w:asciiTheme="majorEastAsia" w:hAnsiTheme="majorEastAsia" w:eastAsiaTheme="majorEastAsia" w:cstheme="majorEastAsia"/>
                <w:color w:val="auto"/>
                <w:szCs w:val="21"/>
                <w:highlight w:val="none"/>
                <w:lang w:eastAsia="zh-CN"/>
              </w:rPr>
              <w:t xml:space="preserve">≥</w:t>
            </w:r>
            <w:r>
              <w:rPr>
                <w:rFonts w:hint="eastAsia" w:asciiTheme="majorEastAsia" w:hAnsiTheme="majorEastAsia" w:eastAsiaTheme="majorEastAsia" w:cstheme="majorEastAsia"/>
                <w:color w:val="auto"/>
                <w:szCs w:val="21"/>
                <w:highlight w:val="none"/>
                <w:lang w:val="en-US" w:eastAsia="zh-CN"/>
              </w:rPr>
              <w:t xml:space="preserve">120*40*160，四层主架。</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rPr>
              <w:t xml:space="preserve">安全标志</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1.配备禁止、警告、指令、提示等四类安全标志。</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lang w:eastAsia="zh-CN"/>
              </w:rPr>
              <w:t xml:space="preserve">尺寸：≥20*30</w:t>
            </w:r>
            <w:r>
              <w:rPr>
                <w:rFonts w:hint="eastAsia" w:asciiTheme="majorEastAsia" w:hAnsiTheme="majorEastAsia" w:eastAsiaTheme="majorEastAsia" w:cstheme="majorEastAsia"/>
                <w:sz w:val="21"/>
                <w:szCs w:val="21"/>
                <w:highlight w:val="none"/>
                <w:lang w:val="en-US" w:eastAsia="zh-CN"/>
              </w:rPr>
              <w:t xml:space="preserve">cm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3.应符合现行标准《安全标志及其使用导则》(GB2894)的有关要求。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绝缘垫</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color w:val="auto"/>
                <w:szCs w:val="21"/>
                <w:highlight w:val="none"/>
                <w:lang w:val="en-US" w:eastAsia="zh-CN"/>
              </w:rPr>
            </w:pPr>
            <w:r>
              <w:rPr>
                <w:rFonts w:hint="eastAsia" w:asciiTheme="majorEastAsia" w:hAnsiTheme="majorEastAsia" w:eastAsiaTheme="majorEastAsia" w:cstheme="majorEastAsia"/>
                <w:color w:val="auto"/>
                <w:szCs w:val="21"/>
                <w:highlight w:val="none"/>
                <w:lang w:val="en-US" w:eastAsia="zh-CN"/>
              </w:rPr>
              <w:t xml:space="preserve">1.适用电压：≥10kV。</w:t>
            </w:r>
            <w:r/>
          </w:p>
          <w:p>
            <w:pPr>
              <w:jc w:val="left"/>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lang w:val="en-US" w:eastAsia="zh-CN"/>
              </w:rPr>
              <w:t xml:space="preserve">2.</w:t>
            </w:r>
            <w:r>
              <w:rPr>
                <w:rFonts w:hint="eastAsia" w:asciiTheme="majorEastAsia" w:hAnsiTheme="majorEastAsia" w:eastAsiaTheme="majorEastAsia" w:cstheme="majorEastAsia"/>
                <w:color w:val="auto"/>
                <w:szCs w:val="21"/>
                <w:highlight w:val="none"/>
                <w:lang w:eastAsia="zh-CN"/>
              </w:rPr>
              <w:t xml:space="preserve">厚度：≥</w:t>
            </w:r>
            <w:r>
              <w:rPr>
                <w:rFonts w:hint="eastAsia" w:asciiTheme="majorEastAsia" w:hAnsiTheme="majorEastAsia" w:eastAsiaTheme="majorEastAsia" w:cstheme="majorEastAsia"/>
                <w:color w:val="auto"/>
                <w:szCs w:val="21"/>
                <w:highlight w:val="none"/>
                <w:lang w:val="en-US" w:eastAsia="zh-CN"/>
              </w:rPr>
              <w:t xml:space="preserve">1.5</w:t>
            </w:r>
            <w:r>
              <w:rPr>
                <w:rFonts w:hint="eastAsia" w:asciiTheme="majorEastAsia" w:hAnsiTheme="majorEastAsia" w:eastAsiaTheme="majorEastAsia" w:cstheme="majorEastAsia"/>
                <w:color w:val="auto"/>
                <w:szCs w:val="21"/>
                <w:highlight w:val="none"/>
                <w:lang w:eastAsia="zh-CN"/>
              </w:rPr>
              <w:t xml:space="preserve">mm；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auto"/>
                <w:szCs w:val="21"/>
                <w:highlight w:val="none"/>
                <w:lang w:val="en-US" w:eastAsia="zh-CN"/>
              </w:rPr>
              <w:t xml:space="preserve">3.颜色：黑色；材质：绝缘橡胶</w:t>
            </w:r>
            <w:r>
              <w:rPr>
                <w:rFonts w:hint="eastAsia" w:asciiTheme="majorEastAsia" w:hAnsiTheme="majorEastAsia" w:eastAsiaTheme="majorEastAsia" w:cstheme="majorEastAsia"/>
                <w:szCs w:val="21"/>
                <w:highlight w:val="none"/>
                <w:lang w:val="en-US" w:eastAsia="zh-CN"/>
              </w:rPr>
              <w:t xml:space="preserve">。</w:t>
            </w:r>
            <w:r/>
          </w:p>
        </w:tc>
      </w:tr>
      <w:tr>
        <w:trPr>
          <w:jc w:val="center"/>
          <w:trHeight w:val="0"/>
        </w:trPr>
        <w:tc>
          <w:tcPr>
            <w:shd w:val="clear" w:color="auto" w:fill="auto"/>
            <w:tcW w:w="958"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K32</w:t>
            </w:r>
            <w:r/>
          </w:p>
        </w:tc>
        <w:tc>
          <w:tcPr>
            <w:shd w:val="clear" w:color="auto" w:fill="auto"/>
            <w:tcW w:w="2475" w:type="dxa"/>
            <w:vAlign w:val="center"/>
            <w:vMerge w:val="restart"/>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低压电工K32低压开关柜实操考核设备</w:t>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进线柜</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vMerge w:val="restart"/>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一、额定参数</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1．额定工作电压</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主电路：</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400V；辅助电路：交流：220V~380V</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2．额定绝缘电压：主电路额定绝缘电压为690V。</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3．额定频率：50Hz</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4．额定电流：水平母线额定工作电流</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1000A；垂直母线额定工作电流</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1000A</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装置内母线额定短时耐受电流为50KA（1S）；装置内母线额定峰值耐受电流</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105KA（0.1S）</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二、框架结构</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2．装置外壳的防护等级IP40。</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3．装置的外形尺寸为：</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2200mm*800mm*800mm（±20mm）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4．内部功能单元采用金属隔板分隔，各功能单元能抽出检修、相同规格的单元能实现互换使用，断路器和塑壳开关、隔离开关都能在柜外操作。</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三、产品配置</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（一）进线柜内主要材料：</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包含：低压抽出式框架断路器；电流互感器；电压表和电流表若干；镀锡铝排；母线夹。</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（二）出线柜内主要材料：</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包含：塑壳断路器；电流互感器；电流表；导电母线；母线夹；一次接线端子；绝缘导线；操作结构。</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（三）补偿柜内主要材料：</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包含：隔离开关；电流互感器；无功补偿控制器；电流表；功率因数表；电压表；熔断器；交流接触器；热继电器；电力电容器；避雷器；镀锡铝排；母线夹；绝缘导线。</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b/>
                <w:bCs/>
                <w:sz w:val="21"/>
                <w:szCs w:val="21"/>
                <w:highlight w:val="none"/>
                <w:lang w:val="en-US" w:eastAsia="zh-CN"/>
              </w:rPr>
              <w:t xml:space="preserve">▲为保证产品质量，需提供封面具有CNAS、CMA、ilac-MRA认证标识的检验报告</w:t>
            </w:r>
            <w:r>
              <w:rPr>
                <w:rFonts w:hint="eastAsia" w:asciiTheme="majorEastAsia" w:hAnsiTheme="majorEastAsia" w:eastAsiaTheme="majorEastAsia" w:cstheme="majorEastAsia"/>
                <w:b/>
                <w:bCs/>
                <w:sz w:val="21"/>
                <w:szCs w:val="21"/>
                <w:highlight w:val="none"/>
              </w:rPr>
              <w:t xml:space="preserve">为佐证，报告中需呈现</w:t>
            </w:r>
            <w:r>
              <w:rPr>
                <w:rFonts w:hint="eastAsia" w:asciiTheme="majorEastAsia" w:hAnsiTheme="majorEastAsia" w:eastAsiaTheme="majorEastAsia" w:cstheme="majorEastAsia"/>
                <w:b/>
                <w:bCs/>
                <w:sz w:val="21"/>
                <w:szCs w:val="21"/>
                <w:highlight w:val="none"/>
                <w:lang w:val="en-US" w:eastAsia="zh-CN"/>
              </w:rPr>
              <w:t xml:space="preserve">以上</w:t>
            </w:r>
            <w:r>
              <w:rPr>
                <w:rFonts w:hint="eastAsia" w:asciiTheme="majorEastAsia" w:hAnsiTheme="majorEastAsia" w:eastAsiaTheme="majorEastAsia" w:cstheme="majorEastAsia"/>
                <w:b/>
                <w:bCs/>
                <w:sz w:val="21"/>
                <w:szCs w:val="21"/>
                <w:highlight w:val="none"/>
              </w:rPr>
              <w:t xml:space="preserve">参数（提供报告</w:t>
            </w:r>
            <w:r>
              <w:rPr>
                <w:rFonts w:hint="eastAsia" w:asciiTheme="majorEastAsia" w:hAnsiTheme="majorEastAsia" w:eastAsiaTheme="majorEastAsia" w:cstheme="majorEastAsia"/>
                <w:b/>
                <w:bCs/>
                <w:sz w:val="21"/>
                <w:szCs w:val="21"/>
                <w:highlight w:val="none"/>
                <w:lang w:val="en-US" w:eastAsia="zh-CN"/>
              </w:rPr>
              <w:t xml:space="preserve">原件扫描上传</w:t>
            </w:r>
            <w:r>
              <w:rPr>
                <w:rFonts w:hint="eastAsia" w:asciiTheme="majorEastAsia" w:hAnsiTheme="majorEastAsia" w:eastAsiaTheme="majorEastAsia" w:cstheme="majorEastAsia"/>
                <w:b/>
                <w:bCs/>
                <w:sz w:val="21"/>
                <w:szCs w:val="21"/>
                <w:highlight w:val="none"/>
              </w:rPr>
              <w:t xml:space="preserve">）</w:t>
            </w:r>
            <w:r>
              <w:rPr>
                <w:rFonts w:hint="eastAsia" w:asciiTheme="majorEastAsia" w:hAnsiTheme="majorEastAsia" w:eastAsiaTheme="majorEastAsia" w:cstheme="majorEastAsia"/>
                <w:b/>
                <w:bCs/>
                <w:sz w:val="21"/>
                <w:szCs w:val="21"/>
                <w:highlight w:val="none"/>
                <w:lang w:val="en-US" w:eastAsia="zh-CN"/>
              </w:rPr>
              <w:t xml:space="preserve">。</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出线柜</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补偿柜</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接线模拟图板</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面</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低压接线模拟图板要求：</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1.接线模拟图板需含：电源指示灯 1 个，报警蜂鸣器 1 个，进线柜模拟开关1个，进线电源指示灯1个，母线带电指示灯1个，带电指示灯 8 个，刀开关指示灯 1 个，模拟低压开关旋扭 8 个，一次接线图 1 幅。（招标文件需提供实物设备照片2张，验证设备的真实性）</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2.功能要求：</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模拟操作低压开关柜之间关系动作，反应出工作状态。当操作程序错误时，会发出报警，以提示操作有误。</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接地干线</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1.颜色：黄绿色。</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安全围栏</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1.尺寸：</w:t>
            </w:r>
            <w:r>
              <w:rPr>
                <w:rFonts w:hint="eastAsia" w:asciiTheme="majorEastAsia" w:hAnsiTheme="majorEastAsia" w:eastAsiaTheme="majorEastAsia" w:cstheme="majorEastAsia"/>
                <w:sz w:val="21"/>
                <w:szCs w:val="21"/>
                <w:highlight w:val="none"/>
                <w:lang w:eastAsia="zh-CN"/>
              </w:rPr>
              <w:t xml:space="preserve">高≥1.2m，长≥4m，</w:t>
            </w:r>
            <w:r>
              <w:rPr>
                <w:rFonts w:hint="eastAsia" w:asciiTheme="majorEastAsia" w:hAnsiTheme="majorEastAsia" w:eastAsiaTheme="majorEastAsia" w:cstheme="majorEastAsia"/>
                <w:sz w:val="21"/>
                <w:szCs w:val="21"/>
                <w:highlight w:val="none"/>
                <w:lang w:val="en-US" w:eastAsia="zh-CN"/>
              </w:rPr>
              <w:t xml:space="preserve">颜色：黄黑色。</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2.材质：玻璃钢绝缘、底座橡胶底座。</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安全标志</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1.配备禁止、警告、指令、提示等四类安全标志。</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lang w:eastAsia="zh-CN"/>
              </w:rPr>
              <w:t xml:space="preserve">尺寸：≥20*30</w:t>
            </w:r>
            <w:r>
              <w:rPr>
                <w:rFonts w:hint="eastAsia" w:asciiTheme="majorEastAsia" w:hAnsiTheme="majorEastAsia" w:eastAsiaTheme="majorEastAsia" w:cstheme="majorEastAsia"/>
                <w:sz w:val="21"/>
                <w:szCs w:val="21"/>
                <w:highlight w:val="none"/>
                <w:lang w:val="en-US" w:eastAsia="zh-CN"/>
              </w:rPr>
              <w:t xml:space="preserve">cm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3.应符合现行标准《安全标志及其使用导则》(GB2894)的有关要求。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绝缘垫</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1.适用电压：≥10kV。</w:t>
            </w:r>
            <w:r/>
          </w:p>
          <w:p>
            <w:pPr>
              <w:jc w:val="left"/>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lang w:val="en-US" w:eastAsia="zh-CN"/>
              </w:rPr>
              <w:t xml:space="preserve">2.</w:t>
            </w:r>
            <w:r>
              <w:rPr>
                <w:rFonts w:hint="eastAsia" w:asciiTheme="majorEastAsia" w:hAnsiTheme="majorEastAsia" w:eastAsiaTheme="majorEastAsia" w:cstheme="majorEastAsia"/>
                <w:color w:val="auto"/>
                <w:szCs w:val="21"/>
                <w:highlight w:val="none"/>
                <w:lang w:eastAsia="zh-CN"/>
              </w:rPr>
              <w:t xml:space="preserve">厚度：≥</w:t>
            </w:r>
            <w:r>
              <w:rPr>
                <w:rFonts w:hint="eastAsia" w:asciiTheme="majorEastAsia" w:hAnsiTheme="majorEastAsia" w:eastAsiaTheme="majorEastAsia" w:cstheme="majorEastAsia"/>
                <w:color w:val="auto"/>
                <w:szCs w:val="21"/>
                <w:highlight w:val="none"/>
                <w:lang w:val="en-US" w:eastAsia="zh-CN"/>
              </w:rPr>
              <w:t xml:space="preserve">1.5</w:t>
            </w:r>
            <w:r>
              <w:rPr>
                <w:rFonts w:hint="eastAsia" w:asciiTheme="majorEastAsia" w:hAnsiTheme="majorEastAsia" w:eastAsiaTheme="majorEastAsia" w:cstheme="majorEastAsia"/>
                <w:color w:val="auto"/>
                <w:szCs w:val="21"/>
                <w:highlight w:val="none"/>
                <w:lang w:eastAsia="zh-CN"/>
              </w:rPr>
              <w:t xml:space="preserve">mm；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auto"/>
                <w:szCs w:val="21"/>
                <w:highlight w:val="none"/>
                <w:lang w:val="en-US" w:eastAsia="zh-CN"/>
              </w:rPr>
              <w:t xml:space="preserve">3.颜色：黑色；材质：绝缘橡胶。</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restart"/>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K33</w:t>
            </w:r>
            <w:r/>
          </w:p>
        </w:tc>
        <w:tc>
          <w:tcPr>
            <w:shd w:val="clear" w:color="auto" w:fill="auto"/>
            <w:tcW w:w="2475" w:type="dxa"/>
            <w:vAlign w:val="center"/>
            <w:vMerge w:val="restart"/>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低压电工K33临时用电系统实操考核设备</w:t>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临时用电系统施工图</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张</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eastAsia="zh-CN"/>
              </w:rPr>
              <w:t xml:space="preserve">应符合</w:t>
            </w:r>
            <w:r>
              <w:rPr>
                <w:rFonts w:hint="eastAsia" w:asciiTheme="majorEastAsia" w:hAnsiTheme="majorEastAsia" w:eastAsiaTheme="majorEastAsia" w:cstheme="majorEastAsia"/>
                <w:sz w:val="21"/>
                <w:szCs w:val="21"/>
                <w:highlight w:val="none"/>
              </w:rPr>
              <w:t xml:space="preserve">《施工现场临时用电安全技术规范》（JGJ46-2012）等现行标准规范要求。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供电系统</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临时用电系统的电源引自配电房电源，配电房电源作为整个系统的初始供电源头，为 220/380V 三相四线制低压电力系统，应符合《建筑与市政工程施工现场临时用电安全技术标准》(JGJ/T46)，且满足三级配电、TN-S 系统、二级剩余电流动作保护系统要求。​</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1.三级配电系统：由总配电箱、分配电箱、开关箱构成。总配电箱靠近电源，分配电箱在用电集中区（与开关箱距离≤30m），开关箱近用电设备（距离≤3m），实行 “一机、一闸、一漏、一箱、一锁” 原则，分级管控电能。​</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二级剩余电流动作保护系统：总配电箱和开关箱分别设保护器。总配电箱为一级保护，开关箱为二级保护。总箱保护器额定剩余动作电流＞30mA、动作时间＞0.1s，两者乘积≤30mA・s；开关箱保护器额定剩余动作电流≤30mA、动作时间≤0.1s（潮湿场所≤15mA），且极数、线数与负荷匹配。</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总配电箱（整套）：</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配电箱*1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电压表*1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电流表*3</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三相四线电能表*1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转换开关*1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电流互感器*3</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隔离开关*1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总断路器*1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分断路器*2</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总配电箱采用科学的模块化设计，内置1组总隔离开关与透明塑壳断路器作为主控制单元，分路设置4-8路具备隔离功能的透明塑壳断路器，配备高性能漏电保护装置，集成欠压、过载、短路、漏电、断相五重保护功能。同时配置三相四线电能表、电压表、3组电流表及电流互感器，实现电力参数的精准监测与计量。漏电保护装置严格遵循安全标准，其额定漏电动作电流与动作时间乘积≤30mA・S，其中延时动作型漏电保护器额定漏电动作电流设定为75-150mA，动作时间控制在0.1S＜t≤0.2S区间。</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1.与电路图匹配。</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2.电流表、电压表、三相四线电能表应符合现行标准《电测量设备》(GB/T17215)相应部分的要求。</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3.转换开关应符合现行标准《低压开关设备和控制设备》(GB/T14048)相应部分的要求。</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4.电流互感器应符合现行标准《互感器》GB/T20840)相应部分的要求。</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5.分断路器为透明塑壳，分断时可见分断点，带漏电保护。</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6.隔离开关、断路器应符合现行标准《低压开关设备和控制设备》(GB/T14048)相应部分的要求。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分配电箱(整套)：</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配电箱*1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总断路器*1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分断路器*2</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1.与电路图匹配。</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2.含动力回路、照明回路。</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3.断路器为透明塑壳，在分断时可见分断点。</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4.应符合现行标准《低压开关设备和控制设备》(GB/T14048)相应部分的要求。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动力开关箱（整套）：</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开关箱*1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断路器*1</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动力开关箱配备透明塑壳断路器作为主控开关，搭配漏电断路器，设置螺栓PE线端子排，从硬件配置层面保障用电安全与操作规范。</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1.与电路图匹配。</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2.断路器为透明塑壳，在分断时可见分断点，带漏电保护。</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3.应符合现行标准《低压开关设备和控制设备》(GB/T14048)相应部分的要求。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照明开关箱(整套)：</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开关箱*1</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断路器*1</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照明开关箱配备透明塑壳断路器作为主控开关，搭配漏电断路器，设置螺栓PE线端子排，从硬件配置层面保障用电安全与操作规范</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1.与电路图匹配。</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2.断路器为透明塑壳，在分断时可见分断点，带漏电保护。</w:t>
            </w:r>
            <w:r>
              <w:rPr>
                <w:rFonts w:hint="eastAsia" w:asciiTheme="majorEastAsia" w:hAnsiTheme="majorEastAsia" w:eastAsiaTheme="majorEastAsia" w:cstheme="majorEastAsia"/>
                <w:sz w:val="21"/>
                <w:szCs w:val="21"/>
                <w:highlight w:val="none"/>
                <w:lang w:val="en-US" w:eastAsia="zh-CN"/>
              </w:rPr>
              <w:br/>
            </w:r>
            <w:r>
              <w:rPr>
                <w:rFonts w:hint="eastAsia" w:asciiTheme="majorEastAsia" w:hAnsiTheme="majorEastAsia" w:eastAsiaTheme="majorEastAsia" w:cstheme="majorEastAsia"/>
                <w:sz w:val="21"/>
                <w:szCs w:val="21"/>
                <w:highlight w:val="none"/>
                <w:lang w:val="en-US" w:eastAsia="zh-CN"/>
              </w:rPr>
              <w:t xml:space="preserve">3.应符合现行标准《低压开关设备和控制设备》(GB/T14048)相应部分的要求。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导线</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auto"/>
                <w:szCs w:val="21"/>
                <w:highlight w:val="none"/>
                <w:lang w:val="en-US" w:eastAsia="zh-CN"/>
              </w:rPr>
              <w:t xml:space="preserve">单股、多股等各种颜色与多种规格线径导线，若干。</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接线端子</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1.螺丝工艺：表面镀锌。</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2.产品规格：10A 20A 60A。</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3.材质：加厚铜。</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电缆</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材质：纯铜，与电路图匹配。</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接地装置及临时接地连接点</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eastAsia="zh-CN"/>
              </w:rPr>
              <w:t xml:space="preserve">按照现场实际情况而定，</w:t>
            </w:r>
            <w:r>
              <w:rPr>
                <w:rFonts w:hint="eastAsia" w:asciiTheme="majorEastAsia" w:hAnsiTheme="majorEastAsia" w:eastAsiaTheme="majorEastAsia" w:cstheme="majorEastAsia"/>
                <w:sz w:val="21"/>
                <w:szCs w:val="21"/>
                <w:highlight w:val="none"/>
                <w:lang w:val="en-US" w:eastAsia="zh-CN"/>
              </w:rPr>
              <w:t xml:space="preserve">应符合现行标准《建筑与市政工程施工现场临时用电安全技术标准》(JGJ/T46)的有关要求。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电动机</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台</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1.适用电压：380V。</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2.带启动装置。</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3.安装结构型式：卧式。</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4.工作原理：异步电动机。</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照明灯具</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1.尺寸（宽*高）：22*35mm.</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2.适用电压：220V</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3.功率:</w:t>
            </w:r>
            <w:r>
              <w:rPr>
                <w:rFonts w:hint="eastAsia" w:asciiTheme="majorEastAsia" w:hAnsiTheme="majorEastAsia" w:eastAsiaTheme="majorEastAsia" w:cstheme="majorEastAsia"/>
                <w:sz w:val="21"/>
                <w:szCs w:val="21"/>
                <w:highlight w:val="none"/>
                <w:lang w:eastAsia="zh-CN"/>
              </w:rPr>
              <w:t xml:space="preserve">≥</w:t>
            </w:r>
            <w:r>
              <w:rPr>
                <w:rFonts w:hint="eastAsia" w:asciiTheme="majorEastAsia" w:hAnsiTheme="majorEastAsia" w:eastAsiaTheme="majorEastAsia" w:cstheme="majorEastAsia"/>
                <w:sz w:val="21"/>
                <w:szCs w:val="21"/>
                <w:highlight w:val="none"/>
                <w:lang w:val="en-US" w:eastAsia="zh-CN"/>
              </w:rPr>
              <w:t xml:space="preserve">6W。</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4.颜色：中性光。</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接线工具</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剥线钳、老虎钳、尖嘴钳、工具刀、一字螺丝刀、十字螺丝刀、千分尺、绝缘胶布。</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安全标志</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套</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1.配备禁止、警告、指令、提示等四类安全标志。</w:t>
            </w:r>
            <w:r/>
          </w:p>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2.</w:t>
            </w:r>
            <w:r>
              <w:rPr>
                <w:rFonts w:hint="eastAsia" w:asciiTheme="majorEastAsia" w:hAnsiTheme="majorEastAsia" w:eastAsiaTheme="majorEastAsia" w:cstheme="majorEastAsia"/>
                <w:sz w:val="21"/>
                <w:szCs w:val="21"/>
                <w:highlight w:val="none"/>
                <w:lang w:eastAsia="zh-CN"/>
              </w:rPr>
              <w:t xml:space="preserve">尺寸：≥20*30</w:t>
            </w:r>
            <w:r>
              <w:rPr>
                <w:rFonts w:hint="eastAsia" w:asciiTheme="majorEastAsia" w:hAnsiTheme="majorEastAsia" w:eastAsiaTheme="majorEastAsia" w:cstheme="majorEastAsia"/>
                <w:sz w:val="21"/>
                <w:szCs w:val="21"/>
                <w:highlight w:val="none"/>
                <w:lang w:val="en-US" w:eastAsia="zh-CN"/>
              </w:rPr>
              <w:t xml:space="preserve">cm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3.应符合现行标准《安全标志及其使用导则》(GB2894)的有关要求。</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restart"/>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干扰项</w:t>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总配电箱分断路器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与电路图不匹配，不带漏电保护。</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分配电箱分断路器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与电路图不匹配。</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动力开关箱断路器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与电路图不匹配，不带漏电保护。</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977" w:type="dxa"/>
            <w:vAlign w:val="center"/>
            <w:vMerge w:val="continue"/>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1003" w:type="dxa"/>
            <w:vAlign w:val="center"/>
            <w:textDirection w:val="lrTb"/>
            <w:noWrap w:val="false"/>
          </w:tcPr>
          <w:p>
            <w:pPr>
              <w:jc w:val="center"/>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照明开关箱断路器</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个</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与电路图不匹配，不带漏电保护。</w:t>
            </w:r>
            <w:r/>
          </w:p>
        </w:tc>
      </w:tr>
      <w:tr>
        <w:trPr>
          <w:jc w:val="center"/>
          <w:trHeight w:val="0"/>
        </w:trPr>
        <w:tc>
          <w:tcPr>
            <w:shd w:val="clear" w:color="auto" w:fill="auto"/>
            <w:tcW w:w="958"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615" w:type="dxa"/>
            <w:vAlign w:val="center"/>
            <w:vMerge w:val="continue"/>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shd w:val="clear" w:color="auto" w:fill="auto"/>
            <w:tcW w:w="2475" w:type="dxa"/>
            <w:vAlign w:val="center"/>
            <w:vMerge w:val="continue"/>
            <w:textDirection w:val="lrTb"/>
            <w:noWrap w:val="false"/>
          </w:tcPr>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rPr>
            </w:r>
            <w:r/>
          </w:p>
        </w:tc>
        <w:tc>
          <w:tcPr>
            <w:gridSpan w:val="2"/>
            <w:shd w:val="clear" w:color="auto" w:fill="auto"/>
            <w:tcW w:w="1980" w:type="dxa"/>
            <w:vAlign w:val="center"/>
            <w:textDirection w:val="lrTb"/>
            <w:noWrap w:val="false"/>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绝缘垫</w:t>
            </w:r>
            <w:r/>
          </w:p>
        </w:tc>
        <w:tc>
          <w:tcPr>
            <w:shd w:val="clear" w:color="auto" w:fill="auto"/>
            <w:tcW w:w="111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1</w:t>
            </w:r>
            <w:r/>
          </w:p>
        </w:tc>
        <w:tc>
          <w:tcPr>
            <w:shd w:val="clear" w:color="auto" w:fill="auto"/>
            <w:tcW w:w="840" w:type="dxa"/>
            <w:vAlign w:val="center"/>
            <w:textDirection w:val="lrTb"/>
            <w:noWrap/>
          </w:tcPr>
          <w:p>
            <w:pPr>
              <w:jc w:val="center"/>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sz w:val="21"/>
                <w:szCs w:val="21"/>
                <w:highlight w:val="none"/>
                <w:lang w:val="en-US" w:eastAsia="zh-CN"/>
              </w:rPr>
              <w:t xml:space="preserve">卷</w:t>
            </w:r>
            <w:r/>
          </w:p>
        </w:tc>
        <w:tc>
          <w:tcPr>
            <w:shd w:val="clear" w:color="auto" w:fill="auto"/>
            <w:tcW w:w="6525" w:type="dxa"/>
            <w:vAlign w:val="center"/>
            <w:textDirection w:val="lrTb"/>
            <w:noWrap w:val="false"/>
          </w:tcPr>
          <w:p>
            <w:pPr>
              <w:jc w:val="left"/>
              <w:rPr>
                <w:rFonts w:hint="eastAsia" w:asciiTheme="majorEastAsia" w:hAnsiTheme="majorEastAsia" w:eastAsiaTheme="majorEastAsia" w:cstheme="majorEastAsia"/>
                <w:sz w:val="21"/>
                <w:szCs w:val="21"/>
                <w:highlight w:val="none"/>
                <w:lang w:val="en-US" w:eastAsia="zh-CN"/>
              </w:rPr>
            </w:pPr>
            <w:r>
              <w:rPr>
                <w:rFonts w:hint="eastAsia" w:asciiTheme="majorEastAsia" w:hAnsiTheme="majorEastAsia" w:eastAsiaTheme="majorEastAsia" w:cstheme="majorEastAsia"/>
                <w:sz w:val="21"/>
                <w:szCs w:val="21"/>
                <w:highlight w:val="none"/>
                <w:lang w:val="en-US" w:eastAsia="zh-CN"/>
              </w:rPr>
              <w:t xml:space="preserve">1.适用电压：≥10kV。</w:t>
            </w:r>
            <w:r/>
          </w:p>
          <w:p>
            <w:pPr>
              <w:jc w:val="left"/>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color w:val="auto"/>
                <w:szCs w:val="21"/>
                <w:highlight w:val="none"/>
                <w:lang w:val="en-US" w:eastAsia="zh-CN"/>
              </w:rPr>
              <w:t xml:space="preserve">2.</w:t>
            </w:r>
            <w:r>
              <w:rPr>
                <w:rFonts w:hint="eastAsia" w:asciiTheme="majorEastAsia" w:hAnsiTheme="majorEastAsia" w:eastAsiaTheme="majorEastAsia" w:cstheme="majorEastAsia"/>
                <w:color w:val="auto"/>
                <w:szCs w:val="21"/>
                <w:highlight w:val="none"/>
                <w:lang w:eastAsia="zh-CN"/>
              </w:rPr>
              <w:t xml:space="preserve">厚度：≥</w:t>
            </w:r>
            <w:r>
              <w:rPr>
                <w:rFonts w:hint="eastAsia" w:asciiTheme="majorEastAsia" w:hAnsiTheme="majorEastAsia" w:eastAsiaTheme="majorEastAsia" w:cstheme="majorEastAsia"/>
                <w:color w:val="auto"/>
                <w:szCs w:val="21"/>
                <w:highlight w:val="none"/>
                <w:lang w:val="en-US" w:eastAsia="zh-CN"/>
              </w:rPr>
              <w:t xml:space="preserve">1.5</w:t>
            </w:r>
            <w:r>
              <w:rPr>
                <w:rFonts w:hint="eastAsia" w:asciiTheme="majorEastAsia" w:hAnsiTheme="majorEastAsia" w:eastAsiaTheme="majorEastAsia" w:cstheme="majorEastAsia"/>
                <w:color w:val="auto"/>
                <w:szCs w:val="21"/>
                <w:highlight w:val="none"/>
                <w:lang w:eastAsia="zh-CN"/>
              </w:rPr>
              <w:t xml:space="preserve">mm；</w:t>
            </w:r>
            <w:r/>
          </w:p>
          <w:p>
            <w:pPr>
              <w:jc w:val="left"/>
              <w:rPr>
                <w:rFonts w:hint="eastAsia" w:asciiTheme="majorEastAsia" w:hAnsiTheme="majorEastAsia" w:eastAsiaTheme="majorEastAsia" w:cstheme="majorEastAsia"/>
                <w:sz w:val="21"/>
                <w:szCs w:val="21"/>
                <w:highlight w:val="none"/>
              </w:rPr>
            </w:pPr>
            <w:r>
              <w:rPr>
                <w:rFonts w:hint="eastAsia" w:asciiTheme="majorEastAsia" w:hAnsiTheme="majorEastAsia" w:eastAsiaTheme="majorEastAsia" w:cstheme="majorEastAsia"/>
                <w:color w:val="auto"/>
                <w:szCs w:val="21"/>
                <w:highlight w:val="none"/>
                <w:lang w:val="en-US" w:eastAsia="zh-CN"/>
              </w:rPr>
              <w:t xml:space="preserve">3.颜色：黑色；材质：绝缘橡胶。</w:t>
            </w:r>
            <w:r/>
          </w:p>
        </w:tc>
      </w:tr>
    </w:tbl>
    <w:p>
      <w:pP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br w:type="page" w:clear="all"/>
      </w:r>
      <w:r/>
    </w:p>
    <w:p>
      <w:pPr>
        <w:numPr>
          <w:ilvl w:val="0"/>
          <w:numId w:val="0"/>
        </w:numPr>
        <w:jc w:val="cente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t xml:space="preserve">熔化焊接与热切割作业</w:t>
      </w:r>
      <w:r/>
    </w:p>
    <w:tbl>
      <w:tblPr>
        <w:tblStyle w:val="923"/>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215"/>
        <w:gridCol w:w="1293"/>
        <w:gridCol w:w="868"/>
        <w:gridCol w:w="461"/>
        <w:gridCol w:w="2108"/>
        <w:gridCol w:w="868"/>
        <w:gridCol w:w="869"/>
        <w:gridCol w:w="5947"/>
      </w:tblGrid>
      <w:tr>
        <w:trPr>
          <w:trHeight w:val="57"/>
        </w:trPr>
        <w:tc>
          <w:tcPr>
            <w:gridSpan w:val="2"/>
            <w:tcW w:w="2083" w:type="dxa"/>
            <w:vAlign w:val="center"/>
            <w:textDirection w:val="lrTb"/>
            <w:noWrap/>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考位编号</w:t>
            </w:r>
            <w:r/>
          </w:p>
        </w:tc>
        <w:tc>
          <w:tcPr>
            <w:tcW w:w="1293" w:type="dxa"/>
            <w:vAlign w:val="center"/>
            <w:textDirection w:val="lrTb"/>
            <w:noWrap w:val="false"/>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考位名称</w:t>
            </w:r>
            <w:r/>
          </w:p>
        </w:tc>
        <w:tc>
          <w:tcPr>
            <w:gridSpan w:val="3"/>
            <w:tcW w:w="3437" w:type="dxa"/>
            <w:vAlign w:val="center"/>
            <w:textDirection w:val="lrTb"/>
            <w:noWrap w:val="false"/>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设备/设施/器材</w:t>
            </w:r>
            <w:r/>
          </w:p>
        </w:tc>
        <w:tc>
          <w:tcPr>
            <w:tcW w:w="868" w:type="dxa"/>
            <w:vAlign w:val="center"/>
            <w:textDirection w:val="lrTb"/>
            <w:noWrap/>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单套</w:t>
            </w:r>
            <w:r/>
          </w:p>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数量</w:t>
            </w:r>
            <w:r/>
          </w:p>
        </w:tc>
        <w:tc>
          <w:tcPr>
            <w:tcW w:w="869" w:type="dxa"/>
            <w:vAlign w:val="center"/>
            <w:textDirection w:val="lrTb"/>
            <w:noWrap/>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单位</w:t>
            </w:r>
            <w:r/>
          </w:p>
        </w:tc>
        <w:tc>
          <w:tcPr>
            <w:tcW w:w="5947" w:type="dxa"/>
            <w:vAlign w:val="center"/>
            <w:textDirection w:val="lrTb"/>
            <w:noWrap w:val="false"/>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标准要求</w:t>
            </w:r>
            <w:r/>
          </w:p>
        </w:tc>
      </w:tr>
      <w:tr>
        <w:trPr>
          <w:trHeight w:val="57"/>
        </w:trPr>
        <w:tc>
          <w:tcPr>
            <w:tcW w:w="868"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科目一</w:t>
            </w:r>
            <w:r/>
          </w:p>
        </w:tc>
        <w:tc>
          <w:tcPr>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K11</w:t>
            </w:r>
            <w:r/>
          </w:p>
        </w:tc>
        <w:tc>
          <w:tcPr>
            <w:tcW w:w="1293"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熔化焊接与热切割作业安全用具考位实操考核设备</w:t>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安全帽</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顶</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1.材质：玻璃钢 ABS PE 针织布。</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2.执行标准：GB2811-2019。</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3.产品功能：抗冲击、防砸。</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手持式面罩</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1.材质：耐高温PP。</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2.颜色：黑色。</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3.镜片≥105*50mm(4.13x1.9")。</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4.视窗≥108*51mm(4.25x2")。</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5.符合现行标准《职业眼面部防护焊接防护第1部分：焊接防护具》（GB/T3609.1）的有关要求。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头戴式面罩</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1.规格参数：</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（1）光学参数：1/1/1/2。</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（2）镜框尺寸：133*114*10mm。</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（3）视窗尺寸：100*80mm。</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2.符合现行标准《职业眼面部防护焊接防护第1部分：焊接防护具》（GB/T3609.1）的有关要求。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安全帽与面罩组合式面罩</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1.材质：PC。</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2.功能：防摔、耐高温、防飞溅。</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3.避光等级：6~13级。</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4.产品尺寸：≥1310*225mm。</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5.符合现行标准《职业眼面部防护焊接防护第1部分：焊接防护具》（GB/T3609.1）的有关要求。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焊接护目镜</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1.材质：PC聚碳酸酯镜片。</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2.功能：防强光、防飞溅、防紫外线。</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3.符合现行标准《职业眼面部防护焊接防护第1部分：焊接防护具》（GB/T3609.1）的有关要求。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滤光片</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1.电焊黑镜片7号尺寸：≥108*50*2.4mm（盒装20片）。</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电焊黑镜片8号尺寸：≥108*50*2.4mm（盒装20片）。</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电焊黑镜片9号尺寸：≥108*50*2.4mm（盒装20片）。</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2.玻璃镜片防强光、防飞溅、防紫外线。</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3.符合现行标准《职业眼面部防护焊接防护第1部分：焊接防护具》（GB/T3609.1）的有关要求。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防冲击护目镜</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1.多功能护目镜1621标准款。</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防尘口罩</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1.功能：防尘、防异味。</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防毒面具</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1.材质：硅胶。</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2.过滤件连接方式：直接式。</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3.功能：防毒、防尘。</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4.面罩类型：双滤棉。</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5.过滤件类型：KN型号。</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耳套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1.环箍材质：钢。</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2.类型：头戴式。</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3.功能：隔音降噪。</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耳塞</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1.材质：液态硅胶。</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2.功能：隔音降噪。</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手套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1.材质：头层牛皮。</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2.特点：超强耐磨、耐高温。</w:t>
            </w:r>
            <w:r/>
          </w:p>
        </w:tc>
      </w:tr>
      <w:tr>
        <w:trPr>
          <w:trHeight w:val="20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防护服</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1.材质：棉质。</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2.功能：阻燃、吸湿透气、耐磨。</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披肩</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1.材质：头等牛皮，耐火材质。</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2.特性：防冲击，防飞溅，耐高温等。</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头蓬</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1.尺寸：高≥280*宽≥220mm。</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2.材质：牛皮。</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3.自动变光防强光隔热焊工防护焊帽头戴式面罩。</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套袖</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加厚防火线牛皮套袖一双装。</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围裙</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1.加厚绿色粗帆布。</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2.围裙尺寸：长≥100cm，宽≥70cm。</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3.符合现行标准《焊接与切割安全》（GB9448）的有关要求。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护腿</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1.材质：牛皮。</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2.尺寸：≥450mm，牛皮护脚魔术贴均为加宽，宽度为5cm～10cm之间。</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3.符合现行标准《焊接与切割安全》（GB9448）的有关要求。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脚盖</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1.加厚牛二层芯皮制作，长≥330m，耐磨，隔热，防烫伤，防电焊辐射，防火花飞溅。</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2.加宽魔术贴可随意调节大小，鞋底加宽加厚松紧带加强固定力度。</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安全鞋</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双</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1.规格参数</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（1）鞋跟形状：无跟平底。</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（2）鞋头款式：圆头，内里材质：织物。</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（3）鞋底材质：PU（聚氨酯）。</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（4）制鞋工艺：注压鞋。</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（5）鞋帮高度：低帮。</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（6）闭合方式：系带。</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（7）耐火材质。</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坠落悬挂用安全带</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1.材质：涤纶（聚酯纤维）+锻打钢。</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2.织带采用AA级涤纶（聚酯纤维）材质，精织加锁边工艺，宽度≥4.2CM，厚度≥2.0MM，拉力26KN，耐磨，抗拉。</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3.大钩尺寸：≥115*220mm；开口≥55mm。大钩可直接挂在不超过5.5CM的管件上。</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4.织带同材质安全绳，直径14MM，拉力2500KG不松散，</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拉力大、耐磨性强。</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5.符合现行标准《坠落防护安全带》（GB6095）的有关要求。</w:t>
            </w:r>
            <w:r/>
          </w:p>
        </w:tc>
      </w:tr>
      <w:tr>
        <w:trPr>
          <w:trHeight w:val="90"/>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干扰项</w:t>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安全帽</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顶</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非标的、过期的、缺少附件的、轻微损坏的。</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面罩</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损坏的手持式、头戴式、安全帽与面罩组合式面罩。</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平光眼镜</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损坏的平光眼镜。</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白玻璃片</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大小与滤光片一致。</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手套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副</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帆布、棉纱。</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工作服</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长袖棉质、长袖化纤。</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帽子</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顶</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化纤。。</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鞋</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双</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布面胶鞋。</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坠落悬挂用安全带</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非标的、过期的、缺少附件的、轻微损坏的。</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器材摆放架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1.材质：钢，承重：约100-500Kg。</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color w:val="auto"/>
                <w:szCs w:val="21"/>
                <w:highlight w:val="none"/>
                <w:lang w:val="en-US" w:eastAsia="zh-CN"/>
              </w:rPr>
              <w:t xml:space="preserve">2.轻型</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120*40*160，四层主架。</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衣架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1.材质：镀锌钢管。</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2.加粗加厚、防磕碰、稳固不倾倒。</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3.尺寸（长*宽）：≥1500*1500mm；加粗钢管。</w:t>
            </w:r>
            <w:r/>
          </w:p>
        </w:tc>
      </w:tr>
      <w:tr>
        <w:trPr>
          <w:trHeight w:val="3338"/>
        </w:trPr>
        <w:tc>
          <w:tcPr>
            <w:tcW w:w="868"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科目二</w:t>
            </w:r>
            <w:r/>
          </w:p>
        </w:tc>
        <w:tc>
          <w:tcPr>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K21</w:t>
            </w:r>
            <w:r/>
          </w:p>
        </w:tc>
        <w:tc>
          <w:tcPr>
            <w:tcW w:w="1293"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熔化焊接与热切割作业现场安全隐患排除实操考核设备（在原设备上升级）</w:t>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平地焊条电弧焊作业现场风险隐患辨识实物实操装置</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1.实物实操装置由以下组件组成：</w:t>
            </w:r>
            <w:r/>
          </w:p>
          <w:tbl>
            <w:tblPr>
              <w:tblStyle w:val="923"/>
              <w:tblW w:w="3814" w:type="pct"/>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45" w:type="dxa"/>
                <w:top w:w="30" w:type="dxa"/>
                <w:right w:w="45" w:type="dxa"/>
                <w:bottom w:w="30" w:type="dxa"/>
              </w:tblCellMar>
              <w:tblLook w:val="04A0" w:firstRow="1" w:lastRow="0" w:firstColumn="1" w:lastColumn="0" w:noHBand="0" w:noVBand="1"/>
            </w:tblPr>
            <w:tblGrid>
              <w:gridCol w:w="467"/>
              <w:gridCol w:w="2213"/>
              <w:gridCol w:w="812"/>
              <w:gridCol w:w="872"/>
            </w:tblGrid>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组件名称</w:t>
                  </w:r>
                  <w:r/>
                </w:p>
              </w:tc>
              <w:tc>
                <w:tcPr>
                  <w:tcMar>
                    <w:left w:w="45" w:type="dxa"/>
                    <w:top w:w="30" w:type="dxa"/>
                    <w:right w:w="45" w:type="dxa"/>
                    <w:bottom w:w="30" w:type="dxa"/>
                  </w:tcMar>
                  <w:tcW w:w="81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数量</w:t>
                  </w:r>
                  <w:r/>
                </w:p>
              </w:tc>
              <w:tc>
                <w:tcPr>
                  <w:tcMar>
                    <w:left w:w="45" w:type="dxa"/>
                    <w:top w:w="30" w:type="dxa"/>
                    <w:right w:w="45" w:type="dxa"/>
                    <w:bottom w:w="30" w:type="dxa"/>
                  </w:tcMar>
                  <w:tcW w:w="87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单位</w:t>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外壳破损的焊条电弧焊机且未接地保护</w:t>
                  </w:r>
                  <w:r/>
                </w:p>
              </w:tc>
              <w:tc>
                <w:tcPr>
                  <w:tcMar>
                    <w:left w:w="45" w:type="dxa"/>
                    <w:top w:w="30" w:type="dxa"/>
                    <w:right w:w="45" w:type="dxa"/>
                    <w:bottom w:w="30" w:type="dxa"/>
                  </w:tcMar>
                  <w:tcW w:w="812" w:type="dxa"/>
                  <w:vAlign w:val="center"/>
                  <w:vMerge w:val="restart"/>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872" w:type="dxa"/>
                  <w:vAlign w:val="center"/>
                  <w:vMerge w:val="restart"/>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焊钳</w:t>
                  </w:r>
                  <w:r/>
                </w:p>
              </w:tc>
              <w:tc>
                <w:tcPr>
                  <w:tcMar>
                    <w:left w:w="45" w:type="dxa"/>
                    <w:top w:w="30" w:type="dxa"/>
                    <w:right w:w="45" w:type="dxa"/>
                    <w:bottom w:w="30" w:type="dxa"/>
                  </w:tcMar>
                  <w:tcW w:w="812" w:type="dxa"/>
                  <w:vAlign w:val="center"/>
                  <w:vMerge w:val="continue"/>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Mar>
                    <w:left w:w="45" w:type="dxa"/>
                    <w:top w:w="30" w:type="dxa"/>
                    <w:right w:w="45" w:type="dxa"/>
                    <w:bottom w:w="30" w:type="dxa"/>
                  </w:tcMar>
                  <w:tcW w:w="872" w:type="dxa"/>
                  <w:vAlign w:val="center"/>
                  <w:vMerge w:val="continue"/>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外皮破损的焊机二次线</w:t>
                  </w:r>
                  <w:r/>
                </w:p>
              </w:tc>
              <w:tc>
                <w:tcPr>
                  <w:tcMar>
                    <w:left w:w="45" w:type="dxa"/>
                    <w:top w:w="30" w:type="dxa"/>
                    <w:right w:w="45" w:type="dxa"/>
                    <w:bottom w:w="30" w:type="dxa"/>
                  </w:tcMar>
                  <w:tcW w:w="812" w:type="dxa"/>
                  <w:vAlign w:val="center"/>
                  <w:vMerge w:val="continue"/>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Mar>
                    <w:left w:w="45" w:type="dxa"/>
                    <w:top w:w="30" w:type="dxa"/>
                    <w:right w:w="45" w:type="dxa"/>
                    <w:bottom w:w="30" w:type="dxa"/>
                  </w:tcMar>
                  <w:tcW w:w="872" w:type="dxa"/>
                  <w:vAlign w:val="center"/>
                  <w:vMerge w:val="continue"/>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一次线过长且盘绕在焊机上</w:t>
                  </w:r>
                  <w:r/>
                </w:p>
              </w:tc>
              <w:tc>
                <w:tcPr>
                  <w:tcMar>
                    <w:left w:w="45" w:type="dxa"/>
                    <w:top w:w="30" w:type="dxa"/>
                    <w:right w:w="45" w:type="dxa"/>
                    <w:bottom w:w="30" w:type="dxa"/>
                  </w:tcMar>
                  <w:tcW w:w="812" w:type="dxa"/>
                  <w:vAlign w:val="center"/>
                  <w:vMerge w:val="continue"/>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Mar>
                    <w:left w:w="45" w:type="dxa"/>
                    <w:top w:w="30" w:type="dxa"/>
                    <w:right w:w="45" w:type="dxa"/>
                    <w:bottom w:w="30" w:type="dxa"/>
                  </w:tcMar>
                  <w:tcW w:w="872" w:type="dxa"/>
                  <w:vAlign w:val="center"/>
                  <w:vMerge w:val="continue"/>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操作台</w:t>
                  </w:r>
                  <w:r/>
                </w:p>
              </w:tc>
              <w:tc>
                <w:tcPr>
                  <w:tcMar>
                    <w:left w:w="45" w:type="dxa"/>
                    <w:top w:w="30" w:type="dxa"/>
                    <w:right w:w="45" w:type="dxa"/>
                    <w:bottom w:w="30" w:type="dxa"/>
                  </w:tcMar>
                  <w:tcW w:w="81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87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压力不足的干粉灭火器</w:t>
                  </w:r>
                  <w:r/>
                </w:p>
              </w:tc>
              <w:tc>
                <w:tcPr>
                  <w:tcMar>
                    <w:left w:w="45" w:type="dxa"/>
                    <w:top w:w="30" w:type="dxa"/>
                    <w:right w:w="45" w:type="dxa"/>
                    <w:bottom w:w="30" w:type="dxa"/>
                  </w:tcMar>
                  <w:tcW w:w="81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87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压力不足的二氧化碳灭火器</w:t>
                  </w:r>
                  <w:r/>
                </w:p>
              </w:tc>
              <w:tc>
                <w:tcPr>
                  <w:tcMar>
                    <w:left w:w="45" w:type="dxa"/>
                    <w:top w:w="30" w:type="dxa"/>
                    <w:right w:w="45" w:type="dxa"/>
                    <w:bottom w:w="30" w:type="dxa"/>
                  </w:tcMar>
                  <w:tcW w:w="81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87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灭火器放置箱</w:t>
                  </w:r>
                  <w:r/>
                </w:p>
              </w:tc>
              <w:tc>
                <w:tcPr>
                  <w:tcMar>
                    <w:left w:w="45" w:type="dxa"/>
                    <w:top w:w="30" w:type="dxa"/>
                    <w:right w:w="45" w:type="dxa"/>
                    <w:bottom w:w="30" w:type="dxa"/>
                  </w:tcMar>
                  <w:tcW w:w="81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87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rHeight w:val="315"/>
              </w:trPr>
              <w:tc>
                <w:tcPr>
                  <w:tcMar>
                    <w:left w:w="45" w:type="dxa"/>
                    <w:top w:w="30" w:type="dxa"/>
                    <w:right w:w="45" w:type="dxa"/>
                    <w:bottom w:w="30" w:type="dxa"/>
                  </w:tcMar>
                  <w:tcW w:w="60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w:t>
                  </w:r>
                  <w:r/>
                </w:p>
              </w:tc>
              <w:tc>
                <w:tcPr>
                  <w:tcMar>
                    <w:left w:w="45" w:type="dxa"/>
                    <w:top w:w="30" w:type="dxa"/>
                    <w:right w:w="45" w:type="dxa"/>
                    <w:bottom w:w="30" w:type="dxa"/>
                  </w:tcMar>
                  <w:tcW w:w="3815"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纸箱</w:t>
                  </w:r>
                  <w:r/>
                </w:p>
              </w:tc>
              <w:tc>
                <w:tcPr>
                  <w:tcMar>
                    <w:left w:w="45" w:type="dxa"/>
                    <w:top w:w="30" w:type="dxa"/>
                    <w:right w:w="45" w:type="dxa"/>
                    <w:bottom w:w="30" w:type="dxa"/>
                  </w:tcMar>
                  <w:tcW w:w="81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872"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bl>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平地气焊作业现场风险隐患辨识实物实操装置</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1.实物实操装置由以下组件组成：</w:t>
            </w:r>
            <w:r/>
          </w:p>
          <w:tbl>
            <w:tblPr>
              <w:tblStyle w:val="923"/>
              <w:tblW w:w="3834"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4"/>
              <w:gridCol w:w="1980"/>
              <w:gridCol w:w="884"/>
              <w:gridCol w:w="939"/>
            </w:tblGrid>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组件名称</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数量</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单位</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有问题的氧气气瓶及附件</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trHeight w:val="90"/>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有问题的乙炔气瓶及附件</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损坏的氧气减压器</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损坏的乙炔减压器</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破损的焊炬</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丙酮空桶</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压力不足的干粉灭火器</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压力不足的二氧化碳灭火器</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tc>
                <w:tcPr>
                  <w:tcW w:w="7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w:t>
                  </w:r>
                  <w:r/>
                </w:p>
              </w:tc>
              <w:tc>
                <w:tcPr>
                  <w:tcW w:w="3574"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灭火器放置箱</w:t>
                  </w:r>
                  <w:r/>
                </w:p>
              </w:tc>
              <w:tc>
                <w:tcPr>
                  <w:tcW w:w="884"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939"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bl>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高处气割作业现场风险隐患辨识实物实操装置</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高处气割作业现场风险隐患辨识实物实操装置搭配现场场景化装饰，营造高处气割作业现场。</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实物实操装置由以下组件组成：</w:t>
            </w:r>
            <w:r/>
          </w:p>
          <w:tbl>
            <w:tblPr>
              <w:tblStyle w:val="92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45" w:type="dxa"/>
                <w:top w:w="30" w:type="dxa"/>
                <w:right w:w="45" w:type="dxa"/>
                <w:bottom w:w="30" w:type="dxa"/>
              </w:tblCellMar>
              <w:tblLook w:val="04A0" w:firstRow="1" w:lastRow="0" w:firstColumn="1" w:lastColumn="0" w:noHBand="0" w:noVBand="1"/>
            </w:tblPr>
            <w:tblGrid>
              <w:gridCol w:w="594"/>
              <w:gridCol w:w="3808"/>
              <w:gridCol w:w="653"/>
              <w:gridCol w:w="665"/>
            </w:tblGrid>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序号</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组件名称</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数量</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单位</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假人模特穿戴工作服、安全帽、安全鞋、安全带，处于门式架高处作业状态</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压力不足的干粉灭火器</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压力不足的二氧化碳灭火器</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无防倾倒装置，无防震胶圈，检验有效期内外，无回火器氧气气瓶和乙炔气瓶及附件，氧气瓶与乙炔瓶距离小于5米，气瓶距离气割点小于10米。</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与割炬连接处未使用专用卡箍固定的且老化破裂的颜色错误的胶管</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实物仿真汽油桶</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实物仿真油漆桶</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r>
              <w:trPr>
                <w:jc w:val="center"/>
                <w:trHeight w:val="57"/>
              </w:trPr>
              <w:tc>
                <w:tcPr>
                  <w:tcMar>
                    <w:left w:w="45" w:type="dxa"/>
                    <w:top w:w="30" w:type="dxa"/>
                    <w:right w:w="45" w:type="dxa"/>
                    <w:bottom w:w="30" w:type="dxa"/>
                  </w:tcMar>
                  <w:tcW w:w="519"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w:t>
                  </w:r>
                  <w:r/>
                </w:p>
              </w:tc>
              <w:tc>
                <w:tcPr>
                  <w:tcMar>
                    <w:left w:w="45" w:type="dxa"/>
                    <w:top w:w="30" w:type="dxa"/>
                    <w:right w:w="45" w:type="dxa"/>
                    <w:bottom w:w="30" w:type="dxa"/>
                  </w:tcMar>
                  <w:tcW w:w="332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移动式操作平台（门式架），状态脚轮未锁定、防护栏杆缺失</w:t>
                  </w:r>
                  <w:r/>
                </w:p>
              </w:tc>
              <w:tc>
                <w:tcPr>
                  <w:tcMar>
                    <w:left w:w="45" w:type="dxa"/>
                    <w:top w:w="30" w:type="dxa"/>
                    <w:right w:w="45" w:type="dxa"/>
                    <w:bottom w:w="30" w:type="dxa"/>
                  </w:tcMar>
                  <w:tcW w:w="57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Mar>
                    <w:left w:w="45" w:type="dxa"/>
                    <w:top w:w="30" w:type="dxa"/>
                    <w:right w:w="45" w:type="dxa"/>
                    <w:bottom w:w="30" w:type="dxa"/>
                  </w:tcMar>
                  <w:tcW w:w="581"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r>
          </w:tbl>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90"/>
        </w:trPr>
        <w:tc>
          <w:tcPr>
            <w:tcW w:w="868"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科目三</w:t>
            </w:r>
            <w:r/>
          </w:p>
        </w:tc>
        <w:tc>
          <w:tcPr>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K31</w:t>
            </w:r>
            <w:r/>
          </w:p>
        </w:tc>
        <w:tc>
          <w:tcPr>
            <w:tcW w:w="1293"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焊条电弧焊高处实操考核设备</w:t>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焊条</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≥10㎏，φ3.2，J422焊条，低碳钢焊条。</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焊条保温桶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容量：≥5kg。</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焊条头回收桶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材质：铁。</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焊接板材</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≥10块，厚度≥5mm、长度≥150mm、宽度≥50mm。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工作台</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两边带挡板≥300mm高，加一台≥6寸台虎钳。</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材质：Q235钢。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常用工器具</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包括但不限于：活扳手、清渣锤、扁口铁钳、钳子、一字螺丝刀、十字螺丝刀、宽刃扁錾、角磨机、钢丝刷等。</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工具袋</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材质：帆布。</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移动式操作平台（门式架）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1.满足搭设1层所需的构配件。</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2.门架及配件符合现行标准《门式钢管脚手架》（JG/T13）的有关要求。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焊渣接火斗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w:t>
            </w:r>
            <w:r>
              <w:rPr>
                <w:rFonts w:hint="eastAsia" w:ascii="宋体" w:hAnsi="宋体" w:cs="宋体"/>
                <w:b w:val="0"/>
                <w:bCs w:val="0"/>
                <w:sz w:val="21"/>
                <w:szCs w:val="21"/>
                <w:highlight w:val="none"/>
                <w:lang w:val="en-US" w:eastAsia="zh-CN"/>
              </w:rPr>
              <w:t xml:space="preserve">防火</w:t>
            </w:r>
            <w:r>
              <w:rPr>
                <w:rFonts w:hint="eastAsia" w:ascii="宋体" w:hAnsi="宋体" w:eastAsia="宋体" w:cs="宋体"/>
                <w:b w:val="0"/>
                <w:bCs w:val="0"/>
                <w:sz w:val="21"/>
                <w:szCs w:val="21"/>
                <w:highlight w:val="none"/>
                <w:lang w:val="en-US" w:eastAsia="zh-CN"/>
              </w:rPr>
              <w:t xml:space="preserve">。</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焊接防火布</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防火阻燃、防水、耐酸碱。</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干粉灭火器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1.手提式。</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2.符合现行标准《手提式灭火器》（GB4351）的有关要求。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1.手提式。</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2.符合现行标准《手提式灭火器》（GB4351）的有关要求。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安全围栏</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1.高≥1.2m长≥4m黄黑色。</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2.材质：玻璃钢绝缘、底座橡胶底座。</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安全标志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1.配备禁止、警告、指令、提示等四类安全标志。</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2.符合现行标准《安全标志及其使用导则》（GB2894）的有关要求。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干扰项</w:t>
            </w:r>
            <w:r/>
          </w:p>
        </w:tc>
        <w:tc>
          <w:tcPr>
            <w:tcW w:w="21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实物仿真汽油桶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实物仿真油漆桶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b w:val="0"/>
                <w:bCs w:val="0"/>
                <w:sz w:val="21"/>
                <w:szCs w:val="21"/>
                <w:highlight w:val="none"/>
                <w:lang w:val="en-US" w:eastAsia="zh-CN"/>
              </w:rPr>
              <w:t xml:space="preserve">木板或木棍</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材质：木材。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纸板或纸团</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材质：纸。</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实物仿真氧气瓶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1329"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108"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实物仿真乙炔瓶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速差自控器（防坠器）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1.结构：双重锁止结构。</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2.组成：U型环吊、坚固螺丝、合金钢罩壳、阻燃绳、防撞皮垫、防旋转钢丝绳、PVC保护套、上挂钩、下挂钩。</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3.尺寸：安全绳长度不超过电杆高度，承重：≥300kg。</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4.材质：合金钢。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K32</w:t>
            </w:r>
            <w:r/>
          </w:p>
        </w:tc>
        <w:tc>
          <w:tcPr>
            <w:tcW w:w="1293"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二氧化碳气体保护焊实操考核设备</w:t>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二氧化碳气体保护焊机</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台</w:t>
            </w:r>
            <w:r/>
          </w:p>
        </w:tc>
        <w:tc>
          <w:tcPr>
            <w:tcW w:w="5947" w:type="dxa"/>
            <w:vAlign w:val="center"/>
            <w:vMerge w:val="restart"/>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1.焊机参数要求：</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（1）额定输入电压：三相380V±15％。</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（2）额定输入功率：≥14kW。</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（3）频率：50/60Hz。</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（4）功率因数：≥0.93。</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（5）空载电压：≥61V。</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（6）电流调节范围：60～450A。</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2.符合现行标准《弧焊设备第1部分：焊接电源》（GB/T15579.1)《电弧焊机通用技术条件》（GB/T8118）的有关要求。</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3.送丝装置与焊机匹配。</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符合现行标准《弧焊设备第5部分：送丝装置》（GB/T15579.5）的有关要求。</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4.焊枪与焊机匹配，长度不小于3m。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符合现行标准《弧焊设备第7部分：焊炬（枪）》（GB/T15579.7）的有关要求。</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5.焊接夹钳及配套电缆线与焊机匹配，电缆线长度不小于3m。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符合现行标准《弧焊设备第13部分：焊接夹钳》（GB/T15579.13）的有关要求。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送丝装置</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台</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320"/>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焊枪</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焊接夹钳及配套电缆线</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二氧化碳气瓶及相关附件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1.气瓶应在检验有效期内，有警示标签和充装产品合格标签。</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2.符合现行标准《钢质焊接气瓶》（GB/T5100）的有关要求或《钢质无缝气瓶》（GB/T5099）相应部分的要求。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气瓶防倾倒装置</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1.材质：钢。</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2.≥40L单瓶蓝色加大口径≥27CM。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二氧化碳减压器高压表、流量计及加热器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符合现行标准《焊接、切割及类似工艺用气瓶减压器》（GB/T7899）的有关要求。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二氧化碳焊丝</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Φ0.8～1.2mm，实心焊丝或药芯焊丝。</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焊丝头回收桶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材质：铁。</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焊接板材</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≥10块，厚度≥5mm、长度≥150mm、宽度≥50mm。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工作台</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两边带挡板≥300mm高，加一台≥6寸台虎钳。</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材质：Q235钢。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常用工器具</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包括但不限于：活扳手、清渣锤、钳子、斜口钳、一字螺丝刀、十字螺丝刀、宽刃扁錾、角磨机、钢丝刷等。</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工具袋</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符合现行标准《焊接烟尘捕集和分离设备》（GB/T43917）相应部分的要求。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干粉灭火器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vMerge w:val="restart"/>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1.手提式。</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2.符合现行标准《手提式灭火器》（GB4351）的有关要求。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安全围栏</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1.尺寸：高≥1.2m，长≥4m，颜色：黄黑色。</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2.材质：玻璃钢绝缘、底座橡胶底座。</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安全标志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1.配备禁止、警告、指令、提示等四类安全标志。</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2.符合现行标准《安全标志及其使用导则》（GB2894）的有关要求。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干扰项</w:t>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实物仿真汽油桶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材质：铁。</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实物仿真油漆桶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材质：马口铁，耐腐蚀。</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木板或木棍</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材质：木材。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纸板或纸团</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材质：纸。</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实物仿真氧气瓶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实物仿真乙炔瓶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K33</w:t>
            </w:r>
            <w:r/>
          </w:p>
        </w:tc>
        <w:tc>
          <w:tcPr>
            <w:tcW w:w="1293"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氩弧焊实操考核设备</w:t>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氩弧焊机</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台</w:t>
            </w:r>
            <w:r/>
          </w:p>
        </w:tc>
        <w:tc>
          <w:tcPr>
            <w:tcW w:w="5947" w:type="dxa"/>
            <w:vAlign w:val="center"/>
            <w:vMerge w:val="restart"/>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1.焊机参数要求：</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（1）额定输入电压：三相380V±15％。</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（2）额定输入功率：≥14kW。</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（3）频率：50/60Hz。</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（4）功率因数：≥0.93。</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（5）空载电压：≥74V。</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（6）电流调节范围：10～400A。</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2.符合现行标准《弧焊设备第1部分：焊接电源》（GB/T15579.1)《电弧焊机通用技术条件》（GB/T8118）的有关要求。</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3.焊枪与焊机匹配，长度不小于3m。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符合现行标准《弧焊设备第7部分：焊炬（枪）》（GB/T15579.7）的有关要求。</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4.焊接夹钳及配套电缆线与焊机匹配，电缆线长度不小于3m。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符合现行标准《弧焊设备第13部分：焊接夹钳》（GB/T15579.13）的有关要求。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焊枪</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焊接夹钳及配套电缆线</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氩气瓶及相关附件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1.气瓶应在检验有效期内，有警示标签和充装产品合格标签。</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2.符合现行标准《钢质焊接气瓶》（GB/T5100）的有关要求或《钢质无缝气瓶》（GB/T5099）相应部分的要求。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气瓶防倾倒装置</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1.材质：钢。</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2.≥40L单瓶蓝色加大口径≥27CM。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氩气减压器高压表及流量计</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1.材质：黄铜。</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2.优质款氩气表。</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3.符合现行标准《焊接、切割及类似工艺用气瓶减压器》（GB/T7899）的有关要求。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氩弧焊丝</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Φ2.0～2.5mm，实心焊丝。</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铈钨极</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Φ1.0~2.5mm。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焊丝头回收桶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材质：铁。</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焊接板材</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≥10块，厚度≥5mm、长度≥150mm、宽度≥50mm。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工作台</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两边带挡板≥300mm高，加一台≥6寸台虎钳。</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材质：Q235钢。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常用工器具</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包括但不限于：活扳手、清渣锤、钳子、一字螺丝刀、十字螺丝刀、宽刃扁錾、角磨机、钢丝刷等。</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工具袋</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材质：帆布。</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干粉灭火器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vMerge w:val="restart"/>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1.手提式。</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2.符合现行标准《手提式灭火器》（GB4351）的有关要求。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安全围栏</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1.高≥1.2m长≥4m黄黑色。</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2.材质：玻璃钢绝缘、底座橡胶底座。</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安全标志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1.配备禁止、警告、指令、提示等四类安全标志。</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2.符合现行标准《安全标志及其使用导则》（GB2894）的有关要求。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干扰项</w:t>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实物仿真汽油桶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材质：铁。</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实物仿真油漆桶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材质：马口铁。耐腐蚀。</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木板或木棍</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材质：木材。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纸板或纸团</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材质：纸。</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实物仿真氧气瓶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实物仿真乙炔瓶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K34</w:t>
            </w:r>
            <w:r/>
          </w:p>
        </w:tc>
        <w:tc>
          <w:tcPr>
            <w:tcW w:w="1293"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气焊实操考核设备</w:t>
            </w:r>
            <w:r>
              <w:rPr>
                <w:rFonts w:hint="eastAsia" w:ascii="宋体" w:hAnsi="宋体" w:eastAsia="宋体" w:cs="宋体"/>
                <w:b w:val="0"/>
                <w:bCs w:val="0"/>
                <w:sz w:val="21"/>
                <w:szCs w:val="21"/>
                <w:highlight w:val="none"/>
                <w:lang w:val="en-US" w:eastAsia="zh-CN"/>
              </w:rPr>
              <w:b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氧气瓶及相关附件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1.气瓶应在检验有效期内，有警示标签和充装产品合格标签。</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2.符合现行标准《钢质焊接气瓶》（GB/T5100）的有关要求或《钢质无缝气瓶》（GB/T5099）相应部分的要求。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乙炔瓶及相关附件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1.气瓶应在检验有效期内，有警示标签和充装产品合格标签。</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2.符合现行标准《钢质焊接气瓶》（GB/T5100）的有关要求或《钢质无缝气瓶》（GB/T5099）相应部分的要求。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气瓶防倾倒装置</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1.材质：钢。</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2.≥40L单瓶蓝色加大口径≥27CM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氧气减压器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符合现行标准《焊接、切割及类似工艺用气瓶减压器》（GB/T7899）的有关要求。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乙炔减压器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符合现行标准《焊接、切割及类似工艺用气瓶减压器》（GB/T7899）的有关要求。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氧气回火防止器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符合现行标准《干式回火防止器》（JB/T7437）的有关要求。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乙炔回火防止器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符合现行标准《干式回火防止器》（JB/T7437）的有关要求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氧气胶管</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1.长度不小于10m。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2.符合现行标准《气体焊接设备焊接、切割和类似作业用橡胶软管》GB/T2550）的有关要求。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乙炔胶管</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根</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1.长度不小于10m。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2.符合现行标准《气体焊接设备焊接、切割和类似作业用橡胶软管》XGB/T2550）的有关要求。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焊炬</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1.H01-6.</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2.符合现行标准《气焊设备焊接、切割及相关工艺用炬》（JB/T7947）的有关要求。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点火器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材质：塑料外壳。</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类型：可充气。</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焊丝</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Φ2.0~3.0mm,H08A。</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焊丝头回收桶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材质：Q235钢。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气焊板材</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1.规格：厚度2～6mm、长度≥150mm、宽度≥50mm。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2.牌号：Q235。</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气割板材</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1.规格：厚度4～12mm、长度≥150mm、宽度≥100mm。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2.牌号：Q235。</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工作台</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两边带挡板≥300mm高，加一台≥6寸台虎钳。</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材质：Q235钢。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接火斗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材质：钢材。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肥皂水（气体检漏）</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容量：≥500ml清洁去污。</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常用工器具</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包括但不限于：活扳手、清渣锤、钳子、一字螺丝刀、十字螺丝刀、通针、气管卡箍、宽刃扁錾、角磨机、钢丝刷等。</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移动式操作平台（门式架）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1.满足搭设1层所需的构配件。</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2.门架及配件符合现行标准《门式钢管脚手架》（JG/T13）的有关要求。</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3.脚轮符合现行标准《工业脚轮和车轮》（GB/T14687）的有关要求，可调高度、可制动，万向脚轮。</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焊渣接火斗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材质：钢材。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焊接防火布</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防火阻燃、防水、耐酸碱。</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干粉灭火器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vMerge w:val="restart"/>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1.手提式。</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2.符合现行标准《手提式灭火器》（GB4351）的有关要求。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二氧化碳灭火器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vMerge w:val="continue"/>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安全围栏</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1.尺寸：高≥1.2m，长≥4m，颜色：黄黑色。</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2.材质：玻璃钢绝缘、底座橡胶底座。</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安全标志</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1.配备禁止、警告、指令、提示等四类安全标志。</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2.符合现行标准《安全标志及其使用导则》（GB2894）的有关要求。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干扰项</w:t>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实物仿真汽油桶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材质：铁。</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实物仿真油漆桶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材质：马口铁。耐腐蚀。</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木板或木棍</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材质：木材。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纸板或纸团</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材质：纸。</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实物仿真氧气瓶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868"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2"/>
            <w:tcW w:w="2569"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实物仿真乙炔瓶</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速差自控器（防坠器）</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1.结构：双重锁止结构。</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2.组成：U型环吊、坚固螺丝、合金钢罩壳、阻燃绳、防撞皮垫、防旋转钢丝绳、PVC保护套、上挂钩、下挂钩。</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3.尺寸：安全绳长度不超过电杆高度，承重：≥300kg。</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4.材质：合金钢。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shd w:val="clear" w:color="auto" w:fill="auto"/>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K34</w:t>
            </w:r>
            <w:r/>
          </w:p>
        </w:tc>
        <w:tc>
          <w:tcPr>
            <w:shd w:val="clear" w:color="auto" w:fill="auto"/>
            <w:tcW w:w="1293" w:type="dxa"/>
            <w:vAlign w:val="center"/>
            <w:vMerge w:val="restart"/>
            <w:textDirection w:val="lrTb"/>
            <w:noWrap w:val="false"/>
          </w:tcPr>
          <w:p>
            <w:pPr>
              <w:jc w:val="both"/>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气割高处实操考核设备</w:t>
            </w:r>
            <w:r>
              <w:rPr>
                <w:rFonts w:hint="eastAsia" w:ascii="宋体" w:hAnsi="宋体" w:eastAsia="宋体" w:cs="宋体"/>
                <w:b w:val="0"/>
                <w:bCs w:val="0"/>
                <w:sz w:val="21"/>
                <w:szCs w:val="21"/>
                <w:highlight w:val="none"/>
                <w:lang w:val="en-US" w:eastAsia="zh-CN"/>
              </w:rPr>
              <w:b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氧气瓶及相关附件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1.气瓶应在检验有效期内，有警示标签和充装产品合格标签。</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2.符合现行标准《钢质焊接气瓶》（GB/T5100）的有关要求或《钢质无缝气瓶》（GB/T5099）相应部分的要求。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乙炔瓶及相关附件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1.气瓶应在检验有效期内，有警示标签和充装产品合格标签。</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2.符合现行标准《钢质焊接气瓶》（GB/T5100）的有关要求或《钢质无缝气瓶》（GB/T5099）相应部分的要求。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气瓶防倾倒装置</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1.材质：钢。</w:t>
            </w:r>
            <w:r/>
          </w:p>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2.≥40L单瓶蓝色加大口径≥27CM</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氧气减压器</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符合现行标准《焊接、切割及类似工艺用气瓶减压器》（GB/T7899）的有关要求。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乙炔减压器</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符合现行标准《焊接、切割及类似工艺用气瓶减压器》（GB/T7899）的有关要求。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氧气回火防止器</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符合现行标准《干式回火防止器》（JB/T7437）的有关要求。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乙炔回火防止器</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符合现行标准《干式回火防止器》（JB/T7437）的有关要求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氧气胶管</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根</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1.长度不小于10m。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2.符合现行标准《气体焊接设备焊接、切割和类似作业用橡胶软管》GB/T2550）的有关要求。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乙炔胶管</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根</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1.长度不小于10m。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2.符合现行标准《气体焊接设备焊接、切割和类似作业用橡胶软管》XGB/T2550）的有关要求。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割炬</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1.G01-30.</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2.符合现行标准《气焊设备焊接、切割及相关工艺用炬》（JB/T7947）的有关要求。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点火器</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材质：塑料外壳。</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类型：可充气。</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焊丝</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Φ2.0~3.0mm,H08A。</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焊丝头回收桶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材质：Q235钢。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气焊板材</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1.规格：厚度2～6mm、长度≥150mm、宽度≥50mm。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2.牌号：Q235。</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气割板材</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1.规格：厚度4～12mm、长度≥150mm、宽度≥100mm。</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2.牌号：Q235。</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工作台</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两边带挡板≥300mm高，加一台≥6寸台虎钳。</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焊架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材质：Q235钢。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接火斗</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材质：钢材。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肥皂水（气体检漏）</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容量：≥500ml清洁去污。</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常用工器具</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包括但不限于：活扳手、清渣锤、钳子、一字螺丝刀、十字螺丝刀、通针、气管卡箍、宽刃扁錾、角磨机、钢丝刷等。</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移动式操作平台（门式架）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1.满足搭设1层所需的构配件。</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2.门架及配件符合现行标准《门式钢管脚手架》（JG/T13）的有关要求。</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3.脚轮符合现行标准《工业脚轮和车轮》（GB/T14687）的有关要求，可调高度、可制动，万向脚轮。</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焊渣接火斗</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材质：钢材。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焊接防火布</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防火阻燃、防水、耐酸碱。</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干粉灭火器</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1.手提式。</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2.符合现行标准《手提式灭火器》（GB4351）的有关要求。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二氧化碳灭火器</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安全围栏</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1.尺寸：高≥1.2m，长≥4m，颜色：黄黑色。</w:t>
            </w:r>
            <w:r/>
          </w:p>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2.材质：玻璃钢绝缘、底座橡胶底座。</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安全标志</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1.配备禁止、警告、指令、提示等四类安全标志。</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2.符合现行标准《安全标志及其使用导则》（GB2894）的有关要求。</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干扰项</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材质：铁。</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实物仿真汽油桶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材质：马口铁。耐腐蚀。</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实物仿真油漆桶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材质：木材。</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木板或木棍</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材质：纸。</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纸板或纸团</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实物仿真氧气瓶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实物仿真。</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shd w:val="clear" w:color="auto" w:fill="auto"/>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实物仿真乙炔瓶</w:t>
            </w:r>
            <w:r/>
          </w:p>
        </w:tc>
        <w:tc>
          <w:tcPr>
            <w:shd w:val="clear" w:color="auto" w:fill="auto"/>
            <w:tcW w:w="868"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869" w:type="dxa"/>
            <w:vAlign w:val="center"/>
            <w:textDirection w:val="lrTb"/>
            <w:noWrap/>
          </w:tcPr>
          <w:p>
            <w:pPr>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个</w:t>
            </w:r>
            <w:r/>
          </w:p>
        </w:tc>
        <w:tc>
          <w:tcPr>
            <w:shd w:val="clear" w:color="auto" w:fill="auto"/>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1.结构：双重锁止结构。</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2.组成：U型环吊、坚固螺丝、合金钢罩壳、阻燃绳、防撞皮垫、防旋转钢丝绳、PVC保护套、上挂钩、下挂钩。</w:t>
            </w:r>
            <w:r/>
          </w:p>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3.尺寸：安全绳长度不超过电杆高度，承重：≥300kg。</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4.材质：合金钢。</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K3配套</w:t>
            </w:r>
            <w:r/>
          </w:p>
        </w:tc>
        <w:tc>
          <w:tcPr>
            <w:tcW w:w="1293" w:type="dxa"/>
            <w:vAlign w:val="center"/>
            <w:vMerge w:val="restart"/>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焊工考试配套</w:t>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工位隔断</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工位</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1.根据现场尺寸设计，防火工艺。</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排风排烟集成除尘环保设备</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numPr>
                <w:ilvl w:val="0"/>
                <w:numId w:val="5"/>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工作电压：380V</w:t>
            </w:r>
            <w:r/>
          </w:p>
          <w:p>
            <w:pPr>
              <w:numPr>
                <w:ilvl w:val="0"/>
                <w:numId w:val="5"/>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电机材质：全铜电机</w:t>
            </w:r>
            <w:r/>
          </w:p>
          <w:p>
            <w:pPr>
              <w:numPr>
                <w:ilvl w:val="0"/>
                <w:numId w:val="5"/>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电机功率：≥3KW</w:t>
            </w:r>
            <w:r/>
          </w:p>
          <w:p>
            <w:pPr>
              <w:numPr>
                <w:ilvl w:val="0"/>
                <w:numId w:val="5"/>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处理风量：≥1500m³/h</w:t>
            </w:r>
            <w:r/>
          </w:p>
          <w:p>
            <w:pPr>
              <w:numPr>
                <w:ilvl w:val="0"/>
                <w:numId w:val="5"/>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吸气臂长：≥2m</w:t>
            </w:r>
            <w:r/>
          </w:p>
          <w:p>
            <w:pPr>
              <w:numPr>
                <w:ilvl w:val="0"/>
                <w:numId w:val="5"/>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过滤效果：99.9%</w:t>
            </w:r>
            <w:r/>
          </w:p>
          <w:p>
            <w:pPr>
              <w:numPr>
                <w:ilvl w:val="0"/>
                <w:numId w:val="5"/>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除尘方式：布袋/滤芯</w:t>
            </w:r>
            <w:r/>
          </w:p>
        </w:tc>
      </w:tr>
      <w:tr>
        <w:trPr>
          <w:trHeight w:val="57"/>
        </w:trPr>
        <w:tc>
          <w:tcPr>
            <w:tcW w:w="868"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气路胶管</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1.氧气跟乙炔气体管路输送安装设施。</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2.焊接气体专用胶管，根据气瓶房位置定制化施工。</w:t>
            </w:r>
            <w:r/>
          </w:p>
        </w:tc>
      </w:tr>
      <w:tr>
        <w:trPr>
          <w:trHeight w:val="57"/>
        </w:trPr>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15"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1293" w:type="dxa"/>
            <w:vAlign w:val="center"/>
            <w:vMerge w:val="continue"/>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gridSpan w:val="3"/>
            <w:tcW w:w="3437"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气瓶房</w:t>
            </w:r>
            <w:r/>
          </w:p>
        </w:tc>
        <w:tc>
          <w:tcPr>
            <w:tcW w:w="86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869"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间</w:t>
            </w:r>
            <w:r/>
          </w:p>
        </w:tc>
        <w:tc>
          <w:tcPr>
            <w:tcW w:w="5947"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1.根据现场设计，防火防爆工艺。</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2.搭配防爆灯跟防爆工业排气扇*1，防爆门*1。</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3.含氧气、乙炔气体报警仪：额定频率：50Hz。额定电压：220V。声光报警。</w:t>
            </w:r>
            <w:r/>
          </w:p>
        </w:tc>
      </w:tr>
    </w:tbl>
    <w:p>
      <w:pPr>
        <w:numPr>
          <w:ilvl w:val="0"/>
          <w:numId w:val="0"/>
        </w:numP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r>
      <w:r/>
    </w:p>
    <w:p>
      <w:pP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br w:type="page" w:clear="all"/>
      </w:r>
      <w:r/>
    </w:p>
    <w:p>
      <w:pPr>
        <w:numPr>
          <w:ilvl w:val="0"/>
          <w:numId w:val="0"/>
        </w:numPr>
        <w:jc w:val="cente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t xml:space="preserve">高处安装维护与拆除作业</w:t>
      </w:r>
      <w:r/>
    </w:p>
    <w:tbl>
      <w:tblPr>
        <w:tblStyle w:val="923"/>
        <w:tblW w:w="14952"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752"/>
        <w:gridCol w:w="1070"/>
        <w:gridCol w:w="1058"/>
        <w:gridCol w:w="1058"/>
        <w:gridCol w:w="732"/>
        <w:gridCol w:w="624"/>
        <w:gridCol w:w="8855"/>
      </w:tblGrid>
      <w:tr>
        <w:trPr>
          <w:trHeight w:val="0"/>
        </w:trPr>
        <w:tc>
          <w:tcPr>
            <w:gridSpan w:val="2"/>
            <w:shd w:val="clear" w:color="auto" w:fill="auto"/>
            <w:tcW w:w="1555" w:type="dxa"/>
            <w:vAlign w:val="center"/>
            <w:textDirection w:val="lrTb"/>
            <w:noWrap/>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考位编号</w:t>
            </w:r>
            <w:r/>
          </w:p>
        </w:tc>
        <w:tc>
          <w:tcPr>
            <w:shd w:val="clear" w:color="auto" w:fill="auto"/>
            <w:tcW w:w="1070" w:type="dxa"/>
            <w:vAlign w:val="center"/>
            <w:textDirection w:val="lrTb"/>
            <w:noWrap w:val="false"/>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考位名称</w:t>
            </w:r>
            <w:r/>
          </w:p>
        </w:tc>
        <w:tc>
          <w:tcPr>
            <w:gridSpan w:val="2"/>
            <w:shd w:val="clear" w:color="auto" w:fill="auto"/>
            <w:tcW w:w="2116" w:type="dxa"/>
            <w:vAlign w:val="center"/>
            <w:textDirection w:val="lrTb"/>
            <w:noWrap w:val="false"/>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设备/设施/器材</w:t>
            </w:r>
            <w:r/>
          </w:p>
        </w:tc>
        <w:tc>
          <w:tcPr>
            <w:shd w:val="clear" w:color="auto" w:fill="auto"/>
            <w:tcW w:w="732" w:type="dxa"/>
            <w:vAlign w:val="center"/>
            <w:textDirection w:val="lrTb"/>
            <w:noWrap/>
          </w:tcPr>
          <w:p>
            <w:pPr>
              <w:jc w:val="center"/>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单套</w:t>
            </w:r>
            <w:r>
              <w:rPr>
                <w:rFonts w:hint="eastAsia" w:ascii="宋体" w:hAnsi="宋体" w:eastAsia="宋体" w:cs="宋体"/>
                <w:b/>
                <w:bCs/>
                <w:sz w:val="21"/>
                <w:szCs w:val="21"/>
                <w:highlight w:val="none"/>
                <w:lang w:val="en-US" w:eastAsia="zh-CN"/>
              </w:rPr>
              <w:t xml:space="preserve">数量</w:t>
            </w:r>
            <w:r/>
          </w:p>
        </w:tc>
        <w:tc>
          <w:tcPr>
            <w:shd w:val="clear" w:color="auto" w:fill="auto"/>
            <w:tcW w:w="624" w:type="dxa"/>
            <w:vAlign w:val="center"/>
            <w:textDirection w:val="lrTb"/>
            <w:noWrap/>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单位</w:t>
            </w:r>
            <w:r/>
          </w:p>
        </w:tc>
        <w:tc>
          <w:tcPr>
            <w:shd w:val="clear" w:color="auto" w:fill="auto"/>
            <w:tcW w:w="8855" w:type="dxa"/>
            <w:vAlign w:val="center"/>
            <w:textDirection w:val="lrTb"/>
            <w:noWrap w:val="false"/>
          </w:tcPr>
          <w:p>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标准要求</w:t>
            </w:r>
            <w:r/>
          </w:p>
        </w:tc>
      </w:tr>
      <w:tr>
        <w:trPr>
          <w:trHeight w:val="0"/>
        </w:trPr>
        <w:tc>
          <w:tcPr>
            <w:shd w:val="clear" w:color="auto" w:fill="auto"/>
            <w:tcW w:w="803"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科目一</w:t>
            </w:r>
            <w:r/>
          </w:p>
        </w:tc>
        <w:tc>
          <w:tcPr>
            <w:shd w:val="clear" w:color="auto" w:fill="auto"/>
            <w:tcW w:w="752"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K11</w:t>
            </w:r>
            <w:r/>
          </w:p>
        </w:tc>
        <w:tc>
          <w:tcPr>
            <w:shd w:val="clear" w:color="auto" w:fill="auto"/>
            <w:tcW w:w="1070"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高处作业安全用具实操考核设备</w:t>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安全帽</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顶</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1.材质：ABS/PE/针织布。</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2.颜色：黄色1顶，蓝色1顶。</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3.应符合现行标准《头部防护安全帽》(GB2811)的有关要求。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围杆作业用安全带</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1.类型：围杆作业式，圆钩围杆带+加厚护腰带+2米绳。</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2.材质：高强度丙纶。</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3.应符合现行标准《坠落防护安全带》(GB6095)的有关要求。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区域限制用安全带</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1.类型：区域限制全身五点式。</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2.材质：聚酯纤维+合金钢；尺寸：安全绳≥2米。</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3.应符合现行标准《坠落防护安全带》(GB6095)的有关要求。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坠落悬挂用安全带</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1.材质：涤纶(聚酯纤维)+锻打钢。</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2.织带采用AA级涤纶(聚酯纤维)材质，精织加锁边工艺，宽度≥40MM，厚度≥2.0MM，主带的织带断裂强力应≥22KN，用于辅带的织带应≥12KN，耐磨，抗拉。</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3.大钩尺寸：≥115*220mm；开口≥55mm。大钩可直接挂在不超过5.5CM的管件上。</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4.织带同材质安全绳，直径14MM，拉力2500KG不松散，</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拉力大、耐磨性强。</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5.应符合现行标准《坠落防护安全带》(GB6095)的有关要求。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安全鞋</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双</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1.材质：帆布 橡胶</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2.功能：高帮、系带、防滑。</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3.分类：10KV绝缘鞋。</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3.应符合现行标准《足部防护安全鞋》(GB21148)的有关要求。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脚扣</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副</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1.类型：适用6-8米电线杆</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2.尺寸：开口直径15-25cm。</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工作服</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1.橘色 套装（纯棉）175/XL。</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2.类型：全棉、长袖、紧口。</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反光背心</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1.材质：纱网/针织</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2.反光：高度化纤反光条</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3.颜色：蓝色</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手套</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双</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1.材质：尼龙</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2.功能：耐磨、不易打滑</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58"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干扰项</w:t>
            </w:r>
            <w:r/>
          </w:p>
        </w:tc>
        <w:tc>
          <w:tcPr>
            <w:shd w:val="clear" w:color="auto" w:fill="auto"/>
            <w:tcW w:w="1058"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安全帽</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顶</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非标的、过期的、缺少附件的、轻微损坏的</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58"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58"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安全带</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非标的、过期的、缺少附件的、轻微损坏的。</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58"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58"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安全鞋</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双</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非标的、损坏的。</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器材摆放架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1.材质：钢，承重：约100-500Kg。</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2.轻型≥120*40*160，四层主架。</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衣架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1.材质：镀锌钢管。</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2.加粗加厚、防磕碰、稳固不倾倒。</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3.尺寸（长*高）：≥1500*1500mm；加粗钢管。</w:t>
            </w:r>
            <w:r/>
          </w:p>
        </w:tc>
      </w:tr>
      <w:tr>
        <w:trPr>
          <w:trHeight w:val="0"/>
        </w:trPr>
        <w:tc>
          <w:tcPr>
            <w:shd w:val="clear" w:color="auto" w:fill="auto"/>
            <w:tcW w:w="803"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科目二</w:t>
            </w:r>
            <w:r/>
          </w:p>
        </w:tc>
        <w:tc>
          <w:tcPr>
            <w:shd w:val="clear" w:color="auto" w:fill="auto"/>
            <w:tcW w:w="752"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K21</w:t>
            </w:r>
            <w:r/>
          </w:p>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高处作业零部件判废实操考核设备</w:t>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移动平台各类零部件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1.判废件用卡片有序标号。</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2.包括（门架式）脚轮制动失效、门架变形、（钢管扣件式）扣件裂纹、爬梯缺档问题。</w:t>
            </w:r>
            <w:r/>
          </w:p>
        </w:tc>
      </w:tr>
      <w:tr>
        <w:trPr>
          <w:trHeight w:val="231"/>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吊篮各类零部件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1.判废件用卡片有序标号；包括钢丝绳绳芯挤出、钢丝绳断丝断股、摆臂式安全锁检验过期。</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2.包括配重块风化碎裂、爬升电机导线破损裸露、爬升电机缺失手动滑降手柄问题。</w:t>
            </w:r>
            <w:r/>
          </w:p>
        </w:tc>
      </w:tr>
      <w:tr>
        <w:trPr>
          <w:trHeight w:val="231"/>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单人吊具各类零部件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1.判废件用卡片有序标号。</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2.包括柔性导轨断裂、自锁器锁扣损坏、下降器销轴螺纹磨损严重、下降器存在焊接痕迹、工作绳存在打结接长、座板有横断裂纹</w:t>
            </w:r>
            <w:r/>
          </w:p>
        </w:tc>
      </w:tr>
      <w:tr>
        <w:trPr>
          <w:trHeight w:val="231"/>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器材摆放架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1.材质：钢，承重：约100-500Kg。</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2.轻型≥120*40*160，四层主架。</w:t>
            </w:r>
            <w:r/>
          </w:p>
        </w:tc>
      </w:tr>
      <w:tr>
        <w:trPr>
          <w:trHeight w:val="996"/>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K22</w:t>
            </w:r>
            <w:r/>
          </w:p>
        </w:tc>
        <w:tc>
          <w:tcPr>
            <w:shd w:val="clear" w:color="auto" w:fill="auto"/>
            <w:tcW w:w="1070"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高处作业现场安全隐患排除实操考核设备（在原设备上升级）</w:t>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设备设施器材</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1.覆盖高处作业的场景（场景含隐患点）。</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2.覆盖考试标准评分要点。</w:t>
            </w:r>
            <w:r/>
          </w:p>
        </w:tc>
      </w:tr>
      <w:tr>
        <w:trPr>
          <w:trHeight w:val="0"/>
        </w:trPr>
        <w:tc>
          <w:tcPr>
            <w:shd w:val="clear" w:color="auto" w:fill="auto"/>
            <w:tcW w:w="803"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科目三</w:t>
            </w:r>
            <w:r/>
          </w:p>
        </w:tc>
        <w:tc>
          <w:tcPr>
            <w:shd w:val="clear" w:color="auto" w:fill="auto"/>
            <w:tcW w:w="752"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K31</w:t>
            </w:r>
            <w:r/>
          </w:p>
        </w:tc>
        <w:tc>
          <w:tcPr>
            <w:shd w:val="clear" w:color="auto" w:fill="auto"/>
            <w:tcW w:w="1070"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移动平台实操考核设备</w:t>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移动式操作平台(门式架)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1.组成：活动门型架2个、斜拉杆4个、斜拉销子9个、接头4个、护栏10个、挡脚板A1需2个、挡脚板A2需2个、踏板2个、万向带刹车脚轮≥6寸4个。</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2.材质：钢。</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3.门架及配件应符合现行标准《门式钢管脚手架》(JG/T13)的有关要求。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4.脚轮应符合现行标准《工业脚轮和车轮》(GB/T14687)的有关要求，可调高度、可制动，万向脚轮。</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移动操作架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组成底座4个；长立杆：4个，长度≥3.2m，黄色钢管；脚手架固定扣58个，纵向水平杆：6个，长度≥3.2m，黄色钢管；护身栏杆：长度≥0.7m，10个，黄色钢管；横向水平杆：6个，长度≥2.1m，黄色钢管；剪刀撑：≥2.5m，6个，红白色钢管；爬梯1个；万向带刹车脚轮：≥5寸，4个；踏板4个；踢脚板：长度≥0.5m，5个；M8*100螺栓4个；M8螺母4个。</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2.材质：钢。</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3.钢管及连接件应符合现行标准《建筑施工扣件式钢管脚手架安全技术规范》(JGJ130)对构配件的质量要求，扣件还应符合现行标准《钢管脚手架扣件》(GB/T15831)的有关要求。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搭设平台所需的配套工器具</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活动扳手：10寸 3 把；梅花扳手：17-19 2 把；卷尺：3000mm 1套；警戒绳：一组两立杆，5米，不锈钢支座2组；安全标志：PVC 1套。</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工具袋</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中号，材质：帆布</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作业环境显示屏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1.硬件配置：采用≥</w:t>
            </w:r>
            <w:r>
              <w:rPr>
                <w:rFonts w:hint="eastAsia" w:ascii="宋体" w:hAnsi="宋体" w:cs="宋体"/>
                <w:sz w:val="21"/>
                <w:szCs w:val="21"/>
                <w:highlight w:val="none"/>
                <w:lang w:val="en-US" w:eastAsia="zh-CN"/>
              </w:rPr>
              <w:t xml:space="preserve">32</w:t>
            </w:r>
            <w:r>
              <w:rPr>
                <w:rFonts w:hint="eastAsia" w:ascii="宋体" w:hAnsi="宋体" w:eastAsia="宋体" w:cs="宋体"/>
                <w:sz w:val="21"/>
                <w:szCs w:val="21"/>
                <w:highlight w:val="none"/>
                <w:lang w:val="en-US" w:eastAsia="zh-CN"/>
              </w:rPr>
              <w:t xml:space="preserve">英寸触控显示终端，分辨率≥1920×1080；单点触摸寿命≥5000 万次；搭载≥四核心处理器，运行内存≥8G，固态硬盘≥120G，内置操作系统，确保设备运行稳定。</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2.系统功能：需搭载作业环境显示系统，该系统可随机生成作业环境信息，并以图文结合的形式呈现。</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3.系统支持考生对作业场地环境（场地平整度及排水顺畅度）、天气（含晴天、雨、雪、雾场景）、温度、风向、风力进行选择。考试时随机生成天气气候画面，考生可切换选择应符合作业要求的天气信息。</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水平生命线装置</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1.水平生命线系统支持安装于作业人员头顶上方，提供坠落限位或坠落制动保护，系统由固定锚点、能量缓冲装置、柔性或刚性导轨配合滑轮滑梭连接速差防坠器组成。</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2.支持调节范围为0-18米；支持≥2人（100kg/人）使用。</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3.应符合EN 795:2012及GB38454-2019 标准要求。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安全围栏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1.尺寸：高≥1.2m，长≥4m，颜色：黄黑色。</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2.材质：玻璃钢绝缘、底座橡胶底座。</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禁止、警告、指令、提示四类标示牌</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1.配备禁止、警告、指令、提示等四类安全标志。</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2.尺寸：≥20*30cm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3.应符合现行标准《安全标志及其使用导则》(GB2894)的有关要求。</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restart"/>
            <w:textDirection w:val="lrTb"/>
            <w:noWrap/>
          </w:tcPr>
          <w:p>
            <w:pPr>
              <w:jc w:val="left"/>
              <w:tabs>
                <w:tab w:val="left" w:pos="218"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K32</w:t>
            </w:r>
            <w:r/>
          </w:p>
        </w:tc>
        <w:tc>
          <w:tcPr>
            <w:shd w:val="clear" w:color="auto" w:fill="auto"/>
            <w:tcW w:w="1070"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吊篮实操考核设备</w:t>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高处作业吊篮（整套，含悬挂装置）</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1.吊篮参数要求：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（1）结构层数：单层。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（2）驱动方式：电动。</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（3）特性：爬升式。</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（4）额定载重量：不小于500kg。</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（5）吊点平台：双吊点。</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（6）材质：镀锌。</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（7）尺寸：篮筐≥1.5米。</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2.吊篮符合现行标准《高处作业吊篮》（GB/T19155）的有关要求。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3.吊篮应装设安全钢丝绳。</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4.吊篮的防坠落装置（安全锁）应在标定期限内使用。</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5.吊篮两端应装设限位器、限位开关（限行、断电），保证吊篮起升至最高点时，</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其底部净空高度不小于2m。</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6.吊篮安装应编制专项施工方案并经批准、审核，吊篮安装符合现行标准《高处作业吊篮安装、拆卸、使用技术规程》（JB/T11699）的有关规定。安装后应经调试、验收合格后方可投入使用。</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清洗作业工具</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滚刷、塑料水桶。</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作业平台</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悬挂装置安装平台、扶梯、墙壁、女儿墙等，固定式墙壁高度不小于4m，悬挂装置安装平台有围栏防坠措施。</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作业环境显示屏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1.硬件配置：采用≥</w:t>
            </w:r>
            <w:r>
              <w:rPr>
                <w:rFonts w:hint="eastAsia" w:ascii="宋体" w:hAnsi="宋体" w:cs="宋体"/>
                <w:sz w:val="21"/>
                <w:szCs w:val="21"/>
                <w:highlight w:val="none"/>
                <w:lang w:val="en-US" w:eastAsia="zh-CN"/>
              </w:rPr>
              <w:t xml:space="preserve">32</w:t>
            </w:r>
            <w:r>
              <w:rPr>
                <w:rFonts w:hint="eastAsia" w:ascii="宋体" w:hAnsi="宋体" w:eastAsia="宋体" w:cs="宋体"/>
                <w:sz w:val="21"/>
                <w:szCs w:val="21"/>
                <w:highlight w:val="none"/>
                <w:lang w:val="en-US" w:eastAsia="zh-CN"/>
              </w:rPr>
              <w:t xml:space="preserve"> 英寸触控显示终端，分辨率≥1920×1080；单点触摸寿命≥5000 万次；搭载≥四核心处理器，运行内存≥8G，固态硬盘≥120G，内置操作系统，确保设备运行稳定。</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2.系统功能：需搭载作业环境显示系统，该系统可随机生成作业环境信息，并以图文结合的形式呈现。</w:t>
            </w:r>
            <w:r/>
          </w:p>
          <w:p>
            <w:pPr>
              <w:jc w:val="lef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3.支持考生对作业场地环境（场地平整度及排水顺畅度）、天气（含晴天、雨、雪、雾场景）、温度、风向、风力进行选择。考试时随机生成天气气候画面，考生可切换选择符合作业要求的天气信息。（投标文件中须提供至少 3 张系统界面截图作为功能佐证材料，截图需体现作业场地环境、天气、温度、风向、风力等信息，且应包含不同状况下可供考生选择的界面环境信息展示）</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安全围栏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1.高≥1.2m长≥4m黄黑色。</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2.材质：玻璃钢绝缘、底座橡胶底座。</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安全标志</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1.配备禁止、警告、指令、提示等四类安全标志。</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2.尺寸（长*宽）：≥20*30cm。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3.符合现行标准《安全标志及其使用导则》（GB2894）的有关要求。</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器材摆放架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1.材质：钢，承重：约100-500Kg。</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2.轻型≥120*40*160，四层主架。</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安全绳</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1.材质：高强度锦纶绳。</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2.≥16毫米三层编织≥10米送双钩+手套。</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3.颜色：灰色，工艺：经纬编织。</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4.符合现行标准《坠落防护安全绳》（GB24543）的有关要求。</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安全绳自锁器</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1.材质：铝合金，尺寸：16～20mm。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2.与安全绳匹配。</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3.符合现行标准《坠落防护带柔性导轨的自锁器》（GB/T24537）的有关要求</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低压验电笔</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1.测量范围≤500V/AC。</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2.氖泡测电笔≥145mm。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3.刀杆材料选用优质CR-V钢，全硬热处理，经久耐用。</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4.符合现行标准《测量、控制和实验室用电气设备的安全要求第1部分：通用要求》（GB4793.1）的有关要求。</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K33</w:t>
            </w:r>
            <w:r/>
          </w:p>
        </w:tc>
        <w:tc>
          <w:tcPr>
            <w:shd w:val="clear" w:color="auto" w:fill="auto"/>
            <w:tcW w:w="1070"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吊具实操考核设备</w:t>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座板式单人吊具（整套）</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1.材质：涤纶+丙纶+榆木。主绳直径：≥22mm。副绳直径：≥18mm。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2.吊具包括挂点装置、悬吊下降系统、坠落保护系统等，符合现行标准《座板式单人吊具悬吊作业安全技术规范》（GB23525）、《坠落防护装备通用技术规范》（GB42297）的有关要求。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3.挂点装置符合现行标准《坠落防护挂点装置》（GB30862）的有关要求。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4.工作绳、安全绳符合现行标准《坠落防护安全绳》（GB24543）的有关要求。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5.下降器符合现行标准《座板式单人吊具悬吊作业安全技术规范》（GB23525）的有关要求。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6.连接器符合现行标准《坠落防护连接器》（GB/T23469）的有关要求。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7.自锁器符合现行标准《坠落防护带柔性导轨的自锁器》（GB/T24537）的有关要求。</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清洗作业工具</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滚刷、塑料水桶。</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作业平台</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悬挂装置安装平台、扶梯、墙壁、女儿墙等，固定式墙壁高度不小于2m，悬挂装置安装平台有围栏防坠措施。</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作业环境显示屏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1.硬件配置：采用≥</w:t>
            </w:r>
            <w:r>
              <w:rPr>
                <w:rFonts w:hint="eastAsia" w:ascii="宋体" w:hAnsi="宋体" w:cs="宋体"/>
                <w:sz w:val="21"/>
                <w:szCs w:val="21"/>
                <w:highlight w:val="none"/>
                <w:lang w:val="en-US" w:eastAsia="zh-CN"/>
              </w:rPr>
              <w:t xml:space="preserve">32</w:t>
            </w:r>
            <w:r>
              <w:rPr>
                <w:rFonts w:hint="eastAsia" w:ascii="宋体" w:hAnsi="宋体" w:eastAsia="宋体" w:cs="宋体"/>
                <w:sz w:val="21"/>
                <w:szCs w:val="21"/>
                <w:highlight w:val="none"/>
                <w:lang w:val="en-US" w:eastAsia="zh-CN"/>
              </w:rPr>
              <w:t xml:space="preserve"> 英寸触控显示终端，分辨率≥1920×1080；单点触摸寿命≥5000 万次；搭载≥四核心处理器，运行内存≥8G，固态硬盘≥120G，内置操作系统，确保设备运行稳定。</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2.系统功能：需搭载作业环境显示系统，该系统可随机生成作业环境信息，并以图文结合的形式呈现。</w:t>
            </w:r>
            <w:r/>
          </w:p>
          <w:p>
            <w:pPr>
              <w:jc w:val="lef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3.支持考生对作业场地环境（场地平整度及排水顺畅度）、天气（含晴天、雨、雪、雾场景）、温度、风向、风力进行选择。考试时随机生成天气气候画面，考生可切换选择符合作业要求的天气信息。（投标文件中须提供至少 3 张系统界面截图作为功能佐证材料，截图需体现作业场地环境、天气、温度、风向、风力等信息，且应包含不同状况下可供考生选择的界面环境信息展示）</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安全围栏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1.尺寸：高≥1.2m，长≥4m，颜色：黄黑色。</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2.材质：玻璃钢绝缘、底座橡胶底座。</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安全标志</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1.配备禁止、警告、指令、提示等四类安全标志。</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2.尺寸：≥20*30cm。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3.符合现行标准《安全标志及其使用导则》（GB2894）的有关要求。</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器材摆放架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1.材质：钢，承重：约100-500Kg。</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2.轻型≥120*40*160，四层主架。</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体重秤</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1.秤面板材质：钢板。</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2.秤体重指示：表盘指针指示。</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3.驱动类型：机械。</w:t>
            </w:r>
            <w:r/>
          </w:p>
        </w:tc>
      </w:tr>
      <w:tr>
        <w:trPr>
          <w:trHeight w:val="9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安全防护垫</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张</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1.厚度≥30cm，外皮加厚防水PVC刀刮布/蓝色。</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2.材质：高密度海绵。</w:t>
            </w:r>
            <w:r/>
          </w:p>
        </w:tc>
      </w:tr>
      <w:tr>
        <w:trPr>
          <w:trHeight w:val="2854"/>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restart"/>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K34</w:t>
            </w:r>
            <w:r/>
          </w:p>
        </w:tc>
        <w:tc>
          <w:tcPr>
            <w:shd w:val="clear" w:color="auto" w:fill="auto"/>
            <w:tcW w:w="1070"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登杆登塔考核设备</w:t>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电杆</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1.应符合《环形混凝土电杆》（GB/T4623）国家标准。</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尺寸参数：高度按照现场实际情况而定，常规高度≥6m,底部直径≥200mm，顶部直径≥160mm；杆身壁厚偏差±5mm，保护层厚度≥15mm。​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2.外观表面平整，无环向裂缝、贯通纵向裂缝，麻面/粘皮面积≥总面积的5%，且单处长度≥100mm，深度≥5mm；杆身弯曲度≥杆长的1/1000。​</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3.力学性能：电杆抗裂弯矩、极限弯矩等力学性能须应符合GB/T4623表4-表7规定。</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4.电杆结构与安装工艺完整还原实际高处作业场景，满足低压电工实操中架空线路作业安全绳、脚扣、登高板的实训考核，保证过程的安全性与场景真实性。</w:t>
            </w:r>
            <w:r/>
          </w:p>
          <w:p>
            <w:pPr>
              <w:jc w:val="lef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▲为保证产品质量，需提供封面具有CNAS、CMA、ilac-MRA认证标识的检验报告为佐证，报告中需呈现以上参数（提供报告原件扫描上传）。</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抱箍</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副</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与电杆匹配</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铁塔</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铁塔应符合现行标准《输电线路铁塔制造技术条件》(GB/T2694)的有关要求。</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1.铁塔主材：采用不低于L50x4热镀锌角钢，材质为Q235，钢材屈服强度≥235MPa，抗拉强度≥370MPa。镀锌层厚度：其余构件采用不低于Q235材质的热镀锌钢材，锌层平均厚度≥55um，符合GB/T2694中第5.1条防腐要求。整体结构：按比例还原输</w:t>
            </w:r>
            <w:r>
              <w:rPr>
                <w:rFonts w:hint="eastAsia" w:ascii="宋体" w:hAnsi="宋体" w:eastAsia="宋体" w:cs="宋体"/>
                <w:sz w:val="21"/>
                <w:szCs w:val="21"/>
                <w:highlight w:val="none"/>
                <w:lang w:val="en-US" w:eastAsia="zh-CN"/>
              </w:rPr>
              <w:t xml:space="preserve">电线路铁塔局部结构，总高度≥4m，顶架尺寸≥2.4m,底部宽度≥1.5m,塔头高度≥1.5m。安全标识：在铁塔醒目位置设置“禁止攀爬”“注意安全”“系挂安全带”等安全标识，标识内容、颜色、尺寸符合GB2894《安全标志及其使用导则》要求。安装焊接工艺：铁塔制造与安装严格执行GB/T2694相关条款，构件加工尺寸偏差控制在:长度±2mm，端面对轴线垂直度≤b/150(b为角钢宽度)。螺栓连接需牢固可靠，扭矩值符合设计要求；焊接部位焊缝高度≥4mm，无咬边、气孔等缺陷,铁塔垂直度偏差≤H/1500(H为塔高)。</w:t>
            </w:r>
            <w:r/>
          </w:p>
          <w:p>
            <w:pPr>
              <w:jc w:val="left"/>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2.铁塔主材、镀锌层厚度、整体结构、安全标识、安装焊接工艺符合以上要求，满足满足高处安装、维护、拆除作业-登杆登塔考位实操考核中登塔作业的操作，保证过程的安全性与场景真实性。（投标文件需提供铁塔主材、镀锌层厚度、整体结构、安全标识、安装焊接工艺符合以上要求的且封面具有CNAS、CMA、ilac-MRA认证标识的检验报告原件并扫描上传）</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传递绳</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1.材质：尼龙</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2.尺寸：长≥10m；直径1≥0mm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3.功能：耐磨，强度高</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安装杆(塔)上设备设施所需的配套工器具</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1.扳手：材质：铬钒合金钢；制式：公制；棘轮8件套B（8-24）</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2.卷尺：材质：ABS；范围：7.5m；自动锁黑黄-7.5m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3.铁锤:材质：木/铁；重量：500g</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4.手持电动套筒扳手：类型：无线；功能：可调速度、正反转；一电一充</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工具袋</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1.材质：帆布</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2.尺寸：约35*27*12cm</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作业环境显示屏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1.硬件配置：采用≥</w:t>
            </w:r>
            <w:r>
              <w:rPr>
                <w:rFonts w:hint="eastAsia" w:ascii="宋体" w:hAnsi="宋体" w:cs="宋体"/>
                <w:sz w:val="21"/>
                <w:szCs w:val="21"/>
                <w:highlight w:val="none"/>
                <w:lang w:val="en-US" w:eastAsia="zh-CN"/>
              </w:rPr>
              <w:t xml:space="preserve">32</w:t>
            </w:r>
            <w:r>
              <w:rPr>
                <w:rFonts w:hint="eastAsia" w:ascii="宋体" w:hAnsi="宋体" w:eastAsia="宋体" w:cs="宋体"/>
                <w:sz w:val="21"/>
                <w:szCs w:val="21"/>
                <w:highlight w:val="none"/>
                <w:lang w:val="en-US" w:eastAsia="zh-CN"/>
              </w:rPr>
              <w:t xml:space="preserve"> 英寸触控显示终端，分辨率≥1920×1080；单点触摸寿命≥5000 万次；搭载≥四核心处理器，运行内存≥8G，固态硬盘≥120G，内置操作系统，确保设备运行稳定。</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2.系统功能：需搭载作业环境显示系统，该系统可随机生成作业环境信息，并以图文结合的形式呈现。</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3.系统支持考生对作业场地环境（场地平整度及排水顺畅度）、天气（含晴天、雨、雪、雾场景）、温度、风向、风力进行选择。考试时随机生成天气气候画面，考生可切换选择应符合作业要求的天气信息。</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安全围栏</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1.尺寸：高≥1.2m，长≥4m，颜色：黄黑色。</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2.材质：玻璃钢绝缘、底座橡胶底座。</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安全标志</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1.配备禁止、警告、指令、提示等四类安全标志。</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2.尺寸：≥20*30cm</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3.应符合现行标准《安全标志及其使用导则》(GB2894)的有关要求。</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器材摆放架</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1.材质：钢，承重：约100-500Kg。</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2.轻型≥120*40*160，四层主架。</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速差自控器(防坠器)</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套</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1.结构：双重锁止结构。</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2.组成：U型环吊、坚固螺丝、合金钢罩壳、阻燃绳、防撞皮垫、防旋转钢丝绳、PVC保护套、上挂钩、下挂钩。</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3.尺寸：安全绳5米，承重：300kg。</w:t>
            </w:r>
            <w:r>
              <w:rPr>
                <w:rFonts w:hint="eastAsia" w:ascii="宋体" w:hAnsi="宋体" w:eastAsia="宋体" w:cs="宋体"/>
                <w:sz w:val="21"/>
                <w:szCs w:val="21"/>
                <w:highlight w:val="none"/>
                <w:lang w:val="en-US" w:eastAsia="zh-CN"/>
              </w:rPr>
              <w:br/>
            </w:r>
            <w:r>
              <w:rPr>
                <w:rFonts w:hint="eastAsia" w:ascii="宋体" w:hAnsi="宋体" w:eastAsia="宋体" w:cs="宋体"/>
                <w:sz w:val="21"/>
                <w:szCs w:val="21"/>
                <w:highlight w:val="none"/>
                <w:lang w:val="en-US" w:eastAsia="zh-CN"/>
              </w:rPr>
              <w:t xml:space="preserve">4.材质：合金钢</w:t>
            </w:r>
            <w:r/>
          </w:p>
        </w:tc>
      </w:tr>
      <w:tr>
        <w:trPr>
          <w:trHeight w:val="0"/>
        </w:trPr>
        <w:tc>
          <w:tcPr>
            <w:shd w:val="clear" w:color="auto" w:fill="auto"/>
            <w:tcW w:w="803"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752" w:type="dxa"/>
            <w:vAlign w:val="center"/>
            <w:vMerge w:val="continue"/>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shd w:val="clear" w:color="auto" w:fill="auto"/>
            <w:tcW w:w="1070" w:type="dxa"/>
            <w:vAlign w:val="center"/>
            <w:vMerge w:val="continue"/>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gridSpan w:val="2"/>
            <w:shd w:val="clear" w:color="auto" w:fill="auto"/>
            <w:tcW w:w="2116"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安全防护垫</w:t>
            </w:r>
            <w:r/>
          </w:p>
        </w:tc>
        <w:tc>
          <w:tcPr>
            <w:shd w:val="clear" w:color="auto" w:fill="auto"/>
            <w:tcW w:w="732"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p>
        </w:tc>
        <w:tc>
          <w:tcPr>
            <w:shd w:val="clear" w:color="auto" w:fill="auto"/>
            <w:tcW w:w="624" w:type="dxa"/>
            <w:vAlign w:val="center"/>
            <w:textDirection w:val="lrTb"/>
            <w:noWrap/>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张</w:t>
            </w:r>
            <w:r/>
          </w:p>
        </w:tc>
        <w:tc>
          <w:tcPr>
            <w:shd w:val="clear" w:color="auto" w:fill="auto"/>
            <w:tcW w:w="8855"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1.厚度≥30cm，外皮加厚防水PVC刀刮布/蓝色。</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2.材质：高密度海绵</w:t>
            </w:r>
            <w:r/>
          </w:p>
        </w:tc>
      </w:tr>
    </w:tbl>
    <w:p>
      <w:pP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br w:type="page" w:clear="all"/>
      </w:r>
      <w:r/>
    </w:p>
    <w:p>
      <w:pPr>
        <w:numPr>
          <w:ilvl w:val="0"/>
          <w:numId w:val="0"/>
        </w:numPr>
        <w:jc w:val="cente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t xml:space="preserve">科目四作业现场应急处置</w:t>
      </w:r>
      <w:r/>
    </w:p>
    <w:tbl>
      <w:tblPr>
        <w:tblStyle w:val="923"/>
        <w:tblW w:w="5160" w:type="pct"/>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5"/>
        <w:gridCol w:w="740"/>
        <w:gridCol w:w="1185"/>
        <w:gridCol w:w="1980"/>
        <w:gridCol w:w="735"/>
        <w:gridCol w:w="630"/>
        <w:gridCol w:w="8823"/>
      </w:tblGrid>
      <w:tr>
        <w:trPr>
          <w:trHeight w:val="57"/>
        </w:trPr>
        <w:tc>
          <w:tcPr>
            <w:gridSpan w:val="2"/>
            <w:shd w:val="clear" w:color="auto" w:fill="auto"/>
            <w:tcW w:w="1625"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考位编号</w:t>
            </w:r>
            <w:r/>
          </w:p>
        </w:tc>
        <w:tc>
          <w:tcPr>
            <w:shd w:val="clear" w:color="auto" w:fill="auto"/>
            <w:tcW w:w="1185"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考位名称</w:t>
            </w:r>
            <w:r/>
          </w:p>
        </w:tc>
        <w:tc>
          <w:tcPr>
            <w:shd w:val="clear" w:color="auto" w:fill="auto"/>
            <w:tcW w:w="1980"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设备/设施/器材量</w:t>
            </w:r>
            <w:r/>
          </w:p>
        </w:tc>
        <w:tc>
          <w:tcPr>
            <w:shd w:val="clear" w:color="auto" w:fill="auto"/>
            <w:tcW w:w="735" w:type="dxa"/>
            <w:vAlign w:val="center"/>
            <w:textDirection w:val="lrTb"/>
            <w:noWrap/>
          </w:tcPr>
          <w:p>
            <w:pPr>
              <w:jc w:val="center"/>
              <w:rPr>
                <w:rFonts w:hint="default"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单套数</w:t>
            </w:r>
            <w:r>
              <w:rPr>
                <w:rFonts w:hint="eastAsia" w:ascii="宋体" w:hAnsi="宋体" w:cs="宋体"/>
                <w:b/>
                <w:bCs/>
                <w:sz w:val="21"/>
                <w:szCs w:val="21"/>
                <w:highlight w:val="none"/>
                <w:lang w:val="en-US" w:eastAsia="zh-CN"/>
              </w:rPr>
              <w:t xml:space="preserve">量</w:t>
            </w:r>
            <w:r/>
          </w:p>
        </w:tc>
        <w:tc>
          <w:tcPr>
            <w:shd w:val="clear" w:color="auto" w:fill="auto"/>
            <w:tcW w:w="630"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单位</w:t>
            </w:r>
            <w:r/>
          </w:p>
        </w:tc>
        <w:tc>
          <w:tcPr>
            <w:shd w:val="clear" w:color="auto" w:fill="auto"/>
            <w:tcW w:w="8826"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标准要求</w:t>
            </w:r>
            <w:r/>
          </w:p>
        </w:tc>
      </w:tr>
      <w:tr>
        <w:trPr>
          <w:trHeight w:val="57"/>
        </w:trPr>
        <w:tc>
          <w:tcPr>
            <w:shd w:val="clear" w:color="auto" w:fill="auto"/>
            <w:tcW w:w="885"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科目四</w:t>
            </w:r>
            <w:r/>
          </w:p>
        </w:tc>
        <w:tc>
          <w:tcPr>
            <w:shd w:val="clear" w:color="auto" w:fill="auto"/>
            <w:tcW w:w="740"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K41</w:t>
            </w:r>
            <w:r/>
          </w:p>
        </w:tc>
        <w:tc>
          <w:tcPr>
            <w:shd w:val="clear" w:color="auto" w:fill="auto"/>
            <w:tcW w:w="1185"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触电事故现场应急处置考位</w:t>
            </w:r>
            <w:r/>
          </w:p>
        </w:tc>
        <w:tc>
          <w:tcPr>
            <w:shd w:val="clear" w:color="auto" w:fill="auto"/>
            <w:tcW w:w="1980" w:type="dxa"/>
            <w:vAlign w:val="center"/>
            <w:textDirection w:val="lrTb"/>
            <w:noWrap w:val="false"/>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触电事故现场应急处置装置</w:t>
            </w:r>
            <w:r/>
          </w:p>
        </w:tc>
        <w:tc>
          <w:tcPr>
            <w:shd w:val="clear" w:color="auto" w:fill="auto"/>
            <w:tcW w:w="735"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630"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8826"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1.心肺复苏模拟操作系统，1套</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⑴工作电源：AC220V 50Hz</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⑵高级自动电脑心肺复苏模拟人：模拟人+白色语音显示控制盒，模拟人上肢关节可自由活动。模拟标准气道开放显示。人工手位胸外按压指示灯显示、数码计数显示</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2.触电与急救场景搭设：</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配电箱1个，明装全塑2-3回路</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空气开关2P1个，电压：230/440V</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圆木棒2根，干棒1根，湿木棒1根，直径≥15mm，长≥120cm</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不锈钢圆管1根，直径≥22mm，长≥120cm</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挑杆架1台，落地</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漏电保护器1个，低压电线2根，高压架空电缆1根，个人安全用具（绝缘靴、绝缘手套）2套、改造电话机1台、绝缘夹钳2个，高压拉闸杆2根等组成。</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通过低压电线杂乱缠绕于配电箱及地面、高压架空电缆模拟悬空漏电状态，搭配设备违规接线、安全用具随意摆放等场景布置，营造高低压触电现场环境。</w:t>
            </w:r>
            <w:r/>
          </w:p>
        </w:tc>
      </w:tr>
    </w:tbl>
    <w:p>
      <w:pPr>
        <w:numPr>
          <w:ilvl w:val="0"/>
          <w:numId w:val="0"/>
        </w:numP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r>
      <w:r/>
    </w:p>
    <w:p>
      <w:pP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br w:type="page" w:clear="all"/>
      </w:r>
      <w:r/>
    </w:p>
    <w:p>
      <w:pPr>
        <w:numPr>
          <w:ilvl w:val="0"/>
          <w:numId w:val="0"/>
        </w:numPr>
        <w:jc w:val="center"/>
        <w:rPr>
          <w:rFonts w:hint="eastAsia" w:ascii="微软雅黑" w:hAnsi="微软雅黑" w:eastAsia="微软雅黑" w:cs="微软雅黑"/>
          <w:b/>
          <w:bCs/>
          <w:color w:val="0000ff"/>
          <w:highlight w:val="none"/>
          <w:lang w:val="en-US" w:eastAsia="zh-CN"/>
        </w:rPr>
      </w:pPr>
      <w:r>
        <w:rPr>
          <w:rFonts w:hint="eastAsia" w:ascii="微软雅黑" w:hAnsi="微软雅黑" w:eastAsia="微软雅黑" w:cs="微软雅黑"/>
          <w:b/>
          <w:bCs/>
          <w:color w:val="0000ff"/>
          <w:highlight w:val="none"/>
          <w:lang w:val="en-US" w:eastAsia="zh-CN"/>
        </w:rPr>
        <w:t xml:space="preserve">其他配套</w:t>
      </w:r>
      <w:r/>
    </w:p>
    <w:tbl>
      <w:tblPr>
        <w:tblStyle w:val="923"/>
        <w:tblW w:w="5221"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0"/>
        <w:gridCol w:w="2663"/>
        <w:gridCol w:w="1223"/>
        <w:gridCol w:w="778"/>
        <w:gridCol w:w="9162"/>
      </w:tblGrid>
      <w:tr>
        <w:trPr>
          <w:trHeight w:val="57"/>
        </w:trPr>
        <w:tc>
          <w:tcPr>
            <w:tcW w:w="1330" w:type="dxa"/>
            <w:vAlign w:val="center"/>
            <w:textDirection w:val="lrTb"/>
            <w:noWrap/>
          </w:tcPr>
          <w:p>
            <w:pPr>
              <w:jc w:val="center"/>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考位名称</w:t>
            </w:r>
            <w:r/>
          </w:p>
        </w:tc>
        <w:tc>
          <w:tcPr>
            <w:tcW w:w="2663" w:type="dxa"/>
            <w:vAlign w:val="center"/>
            <w:textDirection w:val="lrTb"/>
            <w:noWrap w:val="false"/>
          </w:tcPr>
          <w:p>
            <w:pPr>
              <w:jc w:val="center"/>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设备/设施/器材</w:t>
            </w:r>
            <w:r/>
          </w:p>
        </w:tc>
        <w:tc>
          <w:tcPr>
            <w:tcW w:w="1223" w:type="dxa"/>
            <w:vAlign w:val="center"/>
            <w:textDirection w:val="lrTb"/>
            <w:noWrap/>
          </w:tcPr>
          <w:p>
            <w:pPr>
              <w:jc w:val="center"/>
              <w:shd w:val="clear" w:color="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单套</w:t>
            </w:r>
            <w:r>
              <w:rPr>
                <w:rFonts w:hint="eastAsia" w:ascii="宋体" w:hAnsi="宋体" w:eastAsia="宋体" w:cs="宋体"/>
                <w:b/>
                <w:bCs/>
                <w:color w:val="auto"/>
                <w:sz w:val="21"/>
                <w:szCs w:val="21"/>
                <w:highlight w:val="none"/>
                <w:lang w:val="en-US" w:eastAsia="zh-CN"/>
              </w:rPr>
              <w:t xml:space="preserve">数量</w:t>
            </w:r>
            <w:r/>
          </w:p>
        </w:tc>
        <w:tc>
          <w:tcPr>
            <w:tcW w:w="778" w:type="dxa"/>
            <w:vAlign w:val="center"/>
            <w:textDirection w:val="lrTb"/>
            <w:noWrap/>
          </w:tcPr>
          <w:p>
            <w:pPr>
              <w:jc w:val="center"/>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tcW w:w="9162" w:type="dxa"/>
            <w:vAlign w:val="center"/>
            <w:textDirection w:val="lrTb"/>
            <w:noWrap w:val="false"/>
          </w:tcPr>
          <w:p>
            <w:pPr>
              <w:jc w:val="center"/>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标准要求</w:t>
            </w:r>
            <w:r/>
          </w:p>
        </w:tc>
      </w:tr>
      <w:tr>
        <w:trPr>
          <w:trHeight w:val="2442"/>
        </w:trPr>
        <w:tc>
          <w:tcPr>
            <w:tcW w:w="1330" w:type="dxa"/>
            <w:vAlign w:val="center"/>
            <w:vMerge w:val="restart"/>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考场配套</w:t>
            </w:r>
            <w:r/>
          </w:p>
        </w:tc>
        <w:tc>
          <w:tcPr>
            <w:tcW w:w="266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考试排队叫号系统定制</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9162"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排队叫号系统需以先进的计算机技术、网络通信技术及智能控制技术为核心构建，能够确保在安全生产考试环境中稳定且高效地运行，精准满足排队叫号管理的各项需求。</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1．系统需具备出色的可扩展性与兼容性，不仅能与现有各类考试相关系统实现无缝对接整合，还需预留未来功能拓展的接口，为后续的系统升级及新功能添加提供了便利。</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签到与打印环节，系统支持考生通过身份证读卡签到、手输准考证号码签到、手输身份证号码签到，搭配人脸在线比对功能、验证考生个人信息真实性及考试信息有效性，随后按照签到顺序及考生的报名信息，打印小票，指引考生到达指定位置候考；</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系统根据签到顺序、考试工种、设备数量等内容，智能生成候考队列，当前呼叫信息、候考信息、已呼叫信息，显示在候考大屏，实时进行语音播报，考生可超看当前信息及排队时间。（提供候考界面图片及演示视频证明材料）</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4.考场内的考官点击呼叫器，大屏呼叫对应的考生前往考场。</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实时监测考生考试进度，为完成考试的考生，自动排号到下一个考场，实现全自动智能叫号。6.系统可设置叫号工种、叫号时间、叫号顺序、播报时间等内容，并依据设置自动完成排号信息的分配。叫号信息会实时更新，考生只需查看屏幕上的叫号信息及语音叫号信息，可前往指定考场参加相应考试。（提供叫号系统界面截图证明）</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7．系统会实时监测每个考场的考试进程，一旦发现有空闲设备，便立即安排相应考生进行考试，以此最大限度地提高设备使用率，显著提升考试效率。</w:t>
            </w:r>
            <w:r/>
          </w:p>
        </w:tc>
      </w:tr>
      <w:tr>
        <w:trPr>
          <w:trHeight w:val="1134"/>
        </w:trPr>
        <w:tc>
          <w:tcPr>
            <w:tcW w:w="1330"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66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双通道闸机</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9162"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1.材质：304不锈钢、亚克力</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2.开闸次数不低于500万次</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3.密封、防水、防尘防护等级</w:t>
            </w:r>
            <w:r/>
          </w:p>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4.感应方式：红外对射双向通道</w:t>
            </w:r>
            <w:r/>
          </w:p>
        </w:tc>
      </w:tr>
      <w:tr>
        <w:trPr>
          <w:trHeight w:val="734"/>
        </w:trPr>
        <w:tc>
          <w:tcPr>
            <w:tcW w:w="1330"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663" w:type="dxa"/>
            <w:vAlign w:val="center"/>
            <w:textDirection w:val="lrTb"/>
            <w:noWrap/>
          </w:tcPr>
          <w:p>
            <w:pPr>
              <w:jc w:val="center"/>
              <w:keepLines w:val="0"/>
              <w:keepNext w:val="0"/>
              <w:widowControl/>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焊工单向通道</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9162" w:type="dxa"/>
            <w:vAlign w:val="center"/>
            <w:textDirection w:val="lrTb"/>
            <w:noWrap w:val="false"/>
          </w:tcPr>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1.单向不锈钢通道</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2.根据现场通道定制尺寸</w:t>
            </w:r>
            <w:r/>
          </w:p>
        </w:tc>
      </w:tr>
      <w:tr>
        <w:trPr>
          <w:trHeight w:val="749"/>
        </w:trPr>
        <w:tc>
          <w:tcPr>
            <w:tcW w:w="1330"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663" w:type="dxa"/>
            <w:vAlign w:val="center"/>
            <w:textDirection w:val="lrTb"/>
            <w:noWrap/>
          </w:tcPr>
          <w:p>
            <w:pPr>
              <w:jc w:val="center"/>
              <w:keepLines w:val="0"/>
              <w:keepNext w:val="0"/>
              <w:widowControl/>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吊顶拆除</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w:t>
            </w:r>
            <w:r/>
          </w:p>
        </w:tc>
        <w:tc>
          <w:tcPr>
            <w:tcW w:w="9162"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1.高处作业考场相关吊顶拆除</w:t>
            </w:r>
            <w:r/>
          </w:p>
        </w:tc>
      </w:tr>
      <w:tr>
        <w:trPr>
          <w:trHeight w:val="779"/>
        </w:trPr>
        <w:tc>
          <w:tcPr>
            <w:tcW w:w="1330"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663" w:type="dxa"/>
            <w:vAlign w:val="center"/>
            <w:textDirection w:val="lrTb"/>
            <w:noWrap/>
          </w:tcPr>
          <w:p>
            <w:pPr>
              <w:jc w:val="center"/>
              <w:keepLines w:val="0"/>
              <w:keepNext w:val="0"/>
              <w:widowControl/>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隔断安装</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w:t>
            </w:r>
            <w:r/>
          </w:p>
        </w:tc>
        <w:tc>
          <w:tcPr>
            <w:tcW w:w="9162" w:type="dxa"/>
            <w:vAlign w:val="center"/>
            <w:textDirection w:val="lrTb"/>
            <w:noWrap w:val="false"/>
          </w:tcPr>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1.候考室与实操考场隔断</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2.龙骨，基层木工板，外层纸面石膏板墙</w:t>
            </w:r>
            <w:r/>
          </w:p>
        </w:tc>
      </w:tr>
      <w:tr>
        <w:trPr>
          <w:trHeight w:val="659"/>
        </w:trPr>
        <w:tc>
          <w:tcPr>
            <w:tcW w:w="1330"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663" w:type="dxa"/>
            <w:vAlign w:val="center"/>
            <w:textDirection w:val="lrTb"/>
            <w:noWrap/>
          </w:tcPr>
          <w:p>
            <w:pPr>
              <w:jc w:val="center"/>
              <w:keepLines w:val="0"/>
              <w:keepNext w:val="0"/>
              <w:widowControl/>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拾音监控</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40</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个</w:t>
            </w:r>
            <w:r/>
          </w:p>
        </w:tc>
        <w:tc>
          <w:tcPr>
            <w:tcW w:w="9162"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≥4MP；呈像颜色：彩色；支持拾音，poe供电；含支架，现场安装调试。</w:t>
            </w:r>
            <w:r/>
          </w:p>
        </w:tc>
      </w:tr>
      <w:tr>
        <w:trPr>
          <w:trHeight w:val="624"/>
        </w:trPr>
        <w:tc>
          <w:tcPr>
            <w:tcW w:w="1330"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663" w:type="dxa"/>
            <w:vAlign w:val="center"/>
            <w:textDirection w:val="lrTb"/>
            <w:noWrap/>
          </w:tcPr>
          <w:p>
            <w:pPr>
              <w:jc w:val="center"/>
              <w:keepLines w:val="0"/>
              <w:keepNext w:val="0"/>
              <w:widowControl/>
              <w:rPr>
                <w:rFonts w:hint="eastAsia" w:ascii="宋体" w:hAnsi="宋体" w:eastAsia="宋体" w:cs="宋体"/>
                <w:b w:val="0"/>
                <w:bCs w:val="0"/>
                <w:sz w:val="21"/>
                <w:szCs w:val="21"/>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监控布线</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项</w:t>
            </w:r>
            <w:r/>
          </w:p>
        </w:tc>
        <w:tc>
          <w:tcPr>
            <w:tcW w:w="9162" w:type="dxa"/>
            <w:vAlign w:val="center"/>
            <w:textDirection w:val="lrTb"/>
            <w:noWrap w:val="false"/>
          </w:tcPr>
          <w:p>
            <w:p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1.现场监控布线</w:t>
            </w:r>
            <w:r/>
          </w:p>
        </w:tc>
      </w:tr>
      <w:tr>
        <w:trPr>
          <w:trHeight w:val="624"/>
        </w:trPr>
        <w:tc>
          <w:tcPr>
            <w:tcW w:w="1330" w:type="dxa"/>
            <w:vAlign w:val="center"/>
            <w:vMerge w:val="continue"/>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r>
            <w:r/>
          </w:p>
        </w:tc>
        <w:tc>
          <w:tcPr>
            <w:tcW w:w="266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AED除颤仪</w:t>
            </w:r>
            <w:r/>
          </w:p>
        </w:tc>
        <w:tc>
          <w:tcPr>
            <w:tcW w:w="1223"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78" w:type="dxa"/>
            <w:vAlign w:val="center"/>
            <w:textDirection w:val="lrTb"/>
            <w:noWrap/>
          </w:tcPr>
          <w:p>
            <w:pPr>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9162" w:type="dxa"/>
            <w:vAlign w:val="center"/>
            <w:textDirection w:val="lrTb"/>
            <w:noWrap w:val="false"/>
          </w:tcPr>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1.整机重量（含电池）整机重量约2.5KG</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2.最大除颤能量：采用双向截断指数波除颤技术，成人最大能量≤150J</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3.屏幕：7英寸TFT彩色显示屏，≥800*480像素</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4.防水级别：IP55</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5.使用期限：≥8年</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6.除颤：半自动</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7.电极片有效期：≥3年，需电极片到期前3个月设备发送提醒消息</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8.传输功能：WIFI和4G无线数据传输</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9.自检：每日/每周/每月</w:t>
            </w:r>
            <w:r/>
          </w:p>
          <w:p>
            <w:pPr>
              <w:numPr>
                <w:ilvl w:val="0"/>
                <w:numId w:val="0"/>
              </w:numPr>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10.含报警立柜</w:t>
            </w:r>
            <w:r/>
          </w:p>
          <w:p>
            <w:pPr>
              <w:numPr>
                <w:ilvl w:val="0"/>
                <w:numId w:val="0"/>
              </w:numPr>
              <w:ind w:left="0" w:firstLine="0"/>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11.提供免费培训</w:t>
            </w:r>
            <w:r/>
          </w:p>
        </w:tc>
      </w:tr>
    </w:tbl>
    <w:p>
      <w:pPr>
        <w:jc w:val="center"/>
        <w:rPr>
          <w:rFonts w:hint="eastAsia" w:ascii="微软雅黑" w:hAnsi="微软雅黑" w:eastAsia="微软雅黑" w:cs="微软雅黑"/>
          <w:b w:val="0"/>
          <w:bCs w:val="0"/>
          <w:highlight w:val="none"/>
          <w:lang w:val="en-US" w:eastAsia="zh-CN"/>
        </w:rPr>
      </w:pPr>
      <w:r>
        <w:rPr>
          <w:rFonts w:hint="eastAsia" w:ascii="微软雅黑" w:hAnsi="微软雅黑" w:eastAsia="微软雅黑" w:cs="微软雅黑"/>
          <w:b w:val="0"/>
          <w:bCs w:val="0"/>
          <w:highlight w:val="none"/>
          <w:lang w:val="en-US" w:eastAsia="zh-CN"/>
        </w:rPr>
        <w:br w:type="page" w:clear="all"/>
      </w:r>
      <w:r/>
    </w:p>
    <w:p>
      <w:pPr>
        <w:pStyle w:val="939"/>
        <w:numPr>
          <w:ilvl w:val="0"/>
          <w:numId w:val="0"/>
        </w:numPr>
        <w:keepLines w:val="0"/>
        <w:keepNext w:val="0"/>
        <w:pageBreakBefore w:val="0"/>
        <w:spacing w:after="0" w:line="360" w:lineRule="auto"/>
        <w:widowControl w:val="off"/>
        <w:rPr>
          <w:rFonts w:hint="eastAsia" w:ascii="宋体" w:hAnsi="宋体" w:eastAsia="宋体" w:cs="宋体"/>
          <w:b/>
          <w:bCs/>
          <w:i w:val="0"/>
          <w:iCs w:val="0"/>
          <w:color w:val="auto"/>
          <w:sz w:val="21"/>
          <w:szCs w:val="21"/>
          <w:highlight w:val="none"/>
          <w:u w:val="none"/>
          <w:lang w:val="en-US" w:eastAsia="zh-CN" w:bidi="ar"/>
        </w:rPr>
        <w:sectPr>
          <w:headerReference w:type="default" r:id="rId10"/>
          <w:footnotePr/>
          <w:endnotePr/>
          <w:type w:val="nextPage"/>
          <w:pgSz w:w="16838" w:h="11906" w:orient="landscape"/>
          <w:pgMar w:top="1633" w:right="1270" w:bottom="669" w:left="1270" w:header="851" w:footer="992" w:gutter="0"/>
          <w:cols w:num="1" w:sep="0" w:space="0" w:equalWidth="1"/>
          <w:docGrid w:linePitch="360"/>
        </w:sectPr>
      </w:pPr>
      <w:r>
        <w:rPr>
          <w:rFonts w:hint="eastAsia" w:ascii="宋体" w:hAnsi="宋体" w:eastAsia="宋体" w:cs="宋体"/>
          <w:b/>
          <w:bCs/>
          <w:i w:val="0"/>
          <w:iCs w:val="0"/>
          <w:color w:val="auto"/>
          <w:sz w:val="21"/>
          <w:szCs w:val="21"/>
          <w:highlight w:val="none"/>
          <w:u w:val="none"/>
          <w:lang w:val="en-US" w:eastAsia="zh-CN" w:bidi="ar"/>
        </w:rPr>
      </w:r>
      <w:r/>
    </w:p>
    <w:p>
      <w:pPr>
        <w:pStyle w:val="939"/>
        <w:numPr>
          <w:ilvl w:val="0"/>
          <w:numId w:val="0"/>
        </w:numPr>
        <w:ind w:firstLine="422"/>
        <w:keepLines w:val="0"/>
        <w:keepNext w:val="0"/>
        <w:pageBreakBefore w:val="0"/>
        <w:spacing w:after="0"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售后服务要求</w:t>
      </w:r>
      <w:r/>
    </w:p>
    <w:p>
      <w:pPr>
        <w:pStyle w:val="939"/>
        <w:numPr>
          <w:ilvl w:val="0"/>
          <w:numId w:val="0"/>
        </w:numPr>
        <w:ind w:firstLine="420"/>
        <w:keepLines w:val="0"/>
        <w:keepNext w:val="0"/>
        <w:pageBreakBefore w:val="0"/>
        <w:spacing w:after="0"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自验收合格之日起，所有设备及部件提供一年免费质保。质保期内全免费上门，质保期满后，中标单位须提供最优惠的维修价格（人工费、出厂价零配件费、其他材料费等）进行相关服务，在设备寿命期内，中标单位应能保证招标人更换到原厂正宗的零部件，保证维修配件的供应和及时维修，维修价格保持不变（政策调整因素除外）。</w:t>
      </w:r>
      <w:r/>
    </w:p>
    <w:p>
      <w:pPr>
        <w:pStyle w:val="929"/>
        <w:rPr>
          <w:b/>
          <w:color w:val="auto"/>
          <w:highlight w:val="none"/>
        </w:rPr>
      </w:pPr>
      <w:r>
        <w:rPr>
          <w:rFonts w:hint="eastAsia"/>
          <w:b/>
          <w:color w:val="auto"/>
          <w:highlight w:val="none"/>
          <w:lang w:val="en-US" w:eastAsia="zh-CN"/>
        </w:rPr>
        <w:t xml:space="preserve">5、</w:t>
      </w:r>
      <w:r>
        <w:rPr>
          <w:rFonts w:hint="eastAsia"/>
          <w:b/>
          <w:color w:val="auto"/>
          <w:highlight w:val="none"/>
        </w:rPr>
        <w:t xml:space="preserve">付款方式</w:t>
      </w:r>
      <w:bookmarkEnd w:id="55"/>
      <w:r/>
      <w:bookmarkEnd w:id="56"/>
      <w:r/>
      <w:r/>
    </w:p>
    <w:p>
      <w:pPr>
        <w:pStyle w:val="939"/>
        <w:numPr>
          <w:ilvl w:val="0"/>
          <w:numId w:val="0"/>
        </w:numPr>
        <w:ind w:firstLine="420"/>
        <w:keepLines w:val="0"/>
        <w:keepNext w:val="0"/>
        <w:pageBreakBefore w:val="0"/>
        <w:spacing w:after="0" w:line="360" w:lineRule="auto"/>
        <w:widowControl w:val="off"/>
        <w:rPr>
          <w:rFonts w:hint="eastAsia" w:ascii="宋体" w:hAnsi="宋体" w:eastAsia="宋体" w:cs="宋体"/>
          <w:b w:val="0"/>
          <w:bCs w:val="0"/>
          <w:i w:val="0"/>
          <w:iCs w:val="0"/>
          <w:color w:val="auto"/>
          <w:sz w:val="21"/>
          <w:szCs w:val="21"/>
          <w:highlight w:val="none"/>
          <w:u w:val="single"/>
          <w:lang w:val="en-US" w:eastAsia="zh-CN" w:bidi="ar"/>
        </w:rPr>
      </w:pPr>
      <w:r>
        <w:rPr>
          <w:rFonts w:hint="eastAsia" w:ascii="宋体" w:hAnsi="宋体" w:eastAsia="宋体" w:cs="宋体"/>
          <w:b w:val="0"/>
          <w:bCs w:val="0"/>
          <w:i w:val="0"/>
          <w:iCs w:val="0"/>
          <w:color w:val="auto"/>
          <w:sz w:val="21"/>
          <w:szCs w:val="21"/>
          <w:highlight w:val="none"/>
          <w:u w:val="single"/>
          <w:lang w:val="en-US" w:eastAsia="zh-CN" w:bidi="ar"/>
        </w:rPr>
        <w:t xml:space="preserve">合同签订后，乙方向甲方开具发票，甲方自收到发票之日起10个工作日内支付合同价的30%为预付款；货物送达完成并经招标人验收合格后，乙方向甲方开具发票，甲方自收到发票之日起15天内支付合同价的60%；剩余10%一年后付清。</w:t>
      </w:r>
      <w:r/>
    </w:p>
    <w:p>
      <w:pPr>
        <w:numPr>
          <w:ilvl w:val="0"/>
          <w:numId w:val="0"/>
        </w:numPr>
        <w:ind w:firstLine="422"/>
        <w:spacing w:after="156" w:line="400" w:lineRule="exact"/>
        <w:rPr>
          <w:color w:val="auto"/>
          <w:sz w:val="21"/>
          <w:szCs w:val="21"/>
          <w:highlight w:val="none"/>
        </w:rPr>
      </w:pP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其他：</w:t>
      </w:r>
      <w:r>
        <w:rPr>
          <w:rFonts w:hint="eastAsia" w:ascii="宋体" w:hAnsi="宋体"/>
          <w:b/>
          <w:color w:val="auto"/>
          <w:sz w:val="21"/>
          <w:szCs w:val="21"/>
          <w:highlight w:val="none"/>
        </w:rPr>
        <w:t xml:space="preserve">本</w:t>
      </w:r>
      <w:r>
        <w:rPr>
          <w:rFonts w:hint="eastAsia" w:ascii="宋体" w:hAnsi="宋体" w:eastAsia="宋体" w:cs="Times New Roman"/>
          <w:b/>
          <w:bCs/>
          <w:color w:val="auto"/>
          <w:sz w:val="21"/>
          <w:szCs w:val="21"/>
          <w:highlight w:val="none"/>
          <w:lang w:val="en-US" w:eastAsia="zh-CN" w:bidi="ar-SA"/>
        </w:rPr>
        <w:t xml:space="preserve">项目为电子投标，中标单位在领取成交通知书时需递交二份完整的投标书。</w:t>
      </w:r>
      <w:r/>
    </w:p>
    <w:p>
      <w:pPr>
        <w:pStyle w:val="920"/>
        <w:rPr>
          <w:rFonts w:hint="eastAsia"/>
          <w:color w:val="auto"/>
          <w:highlight w:val="none"/>
        </w:rPr>
        <w:sectPr>
          <w:headerReference w:type="default" r:id="rId11"/>
          <w:footnotePr/>
          <w:endnotePr/>
          <w:type w:val="nextPage"/>
          <w:pgSz w:w="11906" w:h="16838" w:orient="portrait"/>
          <w:pgMar w:top="1440" w:right="1536" w:bottom="1440" w:left="1576" w:header="851" w:footer="992" w:gutter="0"/>
          <w:cols w:num="1" w:sep="0" w:space="0" w:equalWidth="1"/>
          <w:docGrid w:linePitch="360"/>
        </w:sectPr>
      </w:pPr>
      <w:r>
        <w:rPr>
          <w:rFonts w:hint="eastAsia"/>
          <w:color w:val="auto"/>
          <w:highlight w:val="none"/>
        </w:rPr>
      </w:r>
      <w:r/>
    </w:p>
    <w:p>
      <w:pPr>
        <w:pStyle w:val="918"/>
        <w:jc w:val="center"/>
        <w:rPr>
          <w:rFonts w:hint="eastAsia" w:ascii="宋体" w:hAnsi="宋体"/>
          <w:color w:val="auto"/>
          <w:sz w:val="36"/>
          <w:highlight w:val="none"/>
        </w:rPr>
      </w:pPr>
      <w:r/>
      <w:bookmarkStart w:id="57" w:name="_Toc501353475"/>
      <w:r/>
      <w:bookmarkStart w:id="58" w:name="_Toc12363"/>
      <w:r/>
      <w:bookmarkStart w:id="59" w:name="_Hlk525739388"/>
      <w:r>
        <w:rPr>
          <w:rFonts w:hint="eastAsia" w:ascii="宋体" w:hAnsi="宋体"/>
          <w:color w:val="auto"/>
          <w:sz w:val="36"/>
          <w:highlight w:val="none"/>
        </w:rPr>
        <w:t xml:space="preserve">第五章 </w:t>
      </w:r>
      <w:bookmarkEnd w:id="57"/>
      <w:r/>
      <w:bookmarkEnd w:id="58"/>
      <w:r>
        <w:rPr>
          <w:rFonts w:hint="eastAsia" w:ascii="宋体" w:hAnsi="宋体"/>
          <w:color w:val="auto"/>
          <w:sz w:val="36"/>
          <w:highlight w:val="none"/>
          <w:lang w:val="en-US" w:eastAsia="zh-CN"/>
        </w:rPr>
        <w:t xml:space="preserve">评审方法与评标标准</w:t>
      </w:r>
      <w:r/>
    </w:p>
    <w:p>
      <w:pPr>
        <w:pStyle w:val="963"/>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63"/>
        <w:ind w:firstLine="420"/>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before="120" w:after="120" w:line="360" w:lineRule="auto"/>
        <w:rPr>
          <w:rFonts w:hint="eastAsia" w:ascii="宋体" w:hAnsi="宋体"/>
          <w:b/>
          <w:color w:val="auto"/>
          <w:szCs w:val="21"/>
          <w:highlight w:val="none"/>
        </w:rPr>
      </w:pPr>
      <w:r/>
      <w:bookmarkStart w:id="60" w:name="_Toc449017024"/>
      <w:r/>
      <w:bookmarkStart w:id="61" w:name="_Toc449016388"/>
      <w:r>
        <w:rPr>
          <w:rFonts w:hint="eastAsia" w:ascii="宋体" w:hAnsi="宋体"/>
          <w:b/>
          <w:color w:val="auto"/>
          <w:szCs w:val="21"/>
          <w:highlight w:val="none"/>
        </w:rPr>
        <w:t xml:space="preserve">二、政府采购政策功能落实</w:t>
      </w:r>
      <w:bookmarkEnd w:id="60"/>
      <w:r/>
      <w:bookmarkEnd w:id="61"/>
      <w:r/>
      <w:r/>
    </w:p>
    <w:p>
      <w:pPr>
        <w:pStyle w:val="963"/>
        <w:ind w:firstLine="420"/>
        <w:rPr>
          <w:rFonts w:ascii="宋体" w:hAnsi="宋体"/>
          <w:color w:val="auto"/>
          <w:sz w:val="21"/>
          <w:szCs w:val="21"/>
          <w:highlight w:val="none"/>
        </w:rPr>
      </w:pPr>
      <w:r>
        <w:rPr>
          <w:rFonts w:hint="eastAsia" w:ascii="宋体" w:hAnsi="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1、小微型企业价格扣除</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（1）本项目对小型和微型企业产品给予</w:t>
      </w:r>
      <w:r>
        <w:rPr>
          <w:rFonts w:ascii="宋体" w:hAnsi="宋体"/>
          <w:color w:val="auto"/>
          <w:szCs w:val="21"/>
          <w:highlight w:val="none"/>
        </w:rPr>
        <w:t xml:space="preserve">20</w:t>
      </w:r>
      <w:r>
        <w:rPr>
          <w:rFonts w:hint="eastAsia" w:ascii="宋体" w:hAnsi="宋体"/>
          <w:color w:val="auto"/>
          <w:szCs w:val="21"/>
          <w:highlight w:val="none"/>
        </w:rPr>
        <w:t xml:space="preserve">%的扣除价格，用扣除后的价格参与评审。</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（2）供应商需按照采购文件的要求提供相应的《企业声明函》。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2、残疾人福利单位价格扣除</w:t>
      </w:r>
      <w:r/>
    </w:p>
    <w:p>
      <w:pPr>
        <w:ind w:left="315" w:firstLine="105"/>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（1）本项目对残疾人福利性单位视同小型、微型企业，给予</w:t>
      </w:r>
      <w:r>
        <w:rPr>
          <w:rFonts w:ascii="宋体" w:hAnsi="宋体"/>
          <w:color w:val="auto"/>
          <w:szCs w:val="21"/>
          <w:highlight w:val="none"/>
        </w:rPr>
        <w:t xml:space="preserve">20</w:t>
      </w:r>
      <w:r>
        <w:rPr>
          <w:rFonts w:hint="eastAsia" w:ascii="宋体" w:hAnsi="宋体"/>
          <w:color w:val="auto"/>
          <w:szCs w:val="21"/>
          <w:highlight w:val="none"/>
        </w:rPr>
        <w:t xml:space="preserve">%的价格扣除，用扣除</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（2）残疾人福利单位需按照采购文件的要求提供《残疾人福利性单位声明函》。</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（3）残疾人福利单位标准请参照《关于促进残疾人就业政府采购政策的通知》（财库</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〔2017〕141号）。</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3、监狱和戒毒企业价格扣除</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（1）本项目对监狱和戒毒企业（简称监狱企业）视同小型、微型企业，给予20%的价</w:t>
      </w:r>
      <w:r/>
    </w:p>
    <w:p>
      <w:p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（2）监狱企业参加政府采购活动时，需提供由省级以上监狱管理局、戒毒管理局(含新</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疆生产建设兵团)出具的属于监狱企业的证明文件。供应商如不提供上述证明文件，价格将</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不做相应扣除。</w:t>
      </w:r>
      <w:r/>
    </w:p>
    <w:p>
      <w:pPr>
        <w:numPr>
          <w:ilvl w:val="0"/>
          <w:numId w:val="6"/>
        </w:numPr>
        <w:ind w:left="420"/>
        <w:jc w:val="left"/>
        <w:spacing w:before="120" w:after="120" w:line="360" w:lineRule="auto"/>
        <w:rPr>
          <w:rFonts w:hint="eastAsia" w:ascii="宋体" w:hAnsi="宋体"/>
          <w:color w:val="auto"/>
          <w:szCs w:val="21"/>
          <w:highlight w:val="none"/>
        </w:rPr>
      </w:pPr>
      <w:r>
        <w:rPr>
          <w:rFonts w:hint="eastAsia" w:ascii="宋体" w:hAnsi="宋体"/>
          <w:color w:val="auto"/>
          <w:szCs w:val="21"/>
          <w:highlight w:val="none"/>
        </w:rPr>
        <w:t xml:space="preserve">监狱企业标准请参照《关于政府采购支持监狱企业发展有关问题的通知》（财库</w:t>
      </w:r>
      <w:r/>
    </w:p>
    <w:p>
      <w:pPr>
        <w:numPr>
          <w:ilvl w:val="0"/>
          <w:numId w:val="0"/>
        </w:numPr>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[2014]68号）。</w:t>
      </w:r>
      <w:r/>
    </w:p>
    <w:p>
      <w:pPr>
        <w:ind w:firstLine="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4、残疾人福利单位、监狱企业属于小型、微型企业的，不重复享受政策。</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5、大中型企业和其他自然人、法人或者其他组织并与小型、微型企业（残疾人福利单</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位、监狱企业）组成联合体共同参加政府采购活动。联合协议中约定，小型、微型企业（残</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疾人福利单位、监狱企业）的协议合同金额占到联合体协议合同总金额30%以上的，给予联</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合体6%的价格扣除，用扣除后的价格参与评审。</w:t>
      </w:r>
      <w:r/>
    </w:p>
    <w:p>
      <w:pPr>
        <w:ind w:left="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6、联合体各方均为小型、微型企业（残疾人福利单位、监狱企业）的，联合体享受20%</w:t>
      </w:r>
      <w:r/>
    </w:p>
    <w:p>
      <w:pPr>
        <w:ind w:left="420" w:hanging="420"/>
        <w:jc w:val="left"/>
        <w:spacing w:before="120" w:after="120" w:line="360" w:lineRule="auto"/>
        <w:rPr>
          <w:rFonts w:ascii="宋体" w:hAnsi="宋体"/>
          <w:color w:val="auto"/>
          <w:szCs w:val="21"/>
          <w:highlight w:val="none"/>
        </w:rPr>
      </w:pPr>
      <w:r>
        <w:rPr>
          <w:rFonts w:hint="eastAsia" w:ascii="宋体" w:hAnsi="宋体"/>
          <w:color w:val="auto"/>
          <w:szCs w:val="21"/>
          <w:highlight w:val="none"/>
        </w:rPr>
        <w:t xml:space="preserve">价格扣除，用扣除后的价格参与评审。</w:t>
      </w:r>
      <w:r/>
    </w:p>
    <w:p>
      <w:pPr>
        <w:numPr>
          <w:ilvl w:val="0"/>
          <w:numId w:val="0"/>
        </w:numPr>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三、</w:t>
      </w:r>
      <w:r>
        <w:rPr>
          <w:rFonts w:hint="eastAsia" w:ascii="宋体" w:hAnsi="宋体"/>
          <w:b/>
          <w:color w:val="auto"/>
          <w:szCs w:val="21"/>
          <w:highlight w:val="none"/>
        </w:rPr>
        <w:t xml:space="preserve">评标标准</w:t>
      </w:r>
      <w:bookmarkEnd w:id="59"/>
      <w:r/>
      <w:bookmarkStart w:id="62" w:name="_Toc9577"/>
      <w:r/>
      <w:bookmarkStart w:id="79" w:name="_GoBack"/>
      <w:r/>
      <w:bookmarkEnd w:id="79"/>
      <w:r/>
      <w:r/>
    </w:p>
    <w:tbl>
      <w:tblPr>
        <w:tblStyle w:val="923"/>
        <w:tblpPr w:horzAnchor="page" w:tblpXSpec="center" w:vertAnchor="text" w:tblpY="168" w:leftFromText="180" w:topFromText="0" w:rightFromText="180" w:bottomFromText="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250"/>
        <w:gridCol w:w="8308"/>
      </w:tblGrid>
      <w:tr>
        <w:trPr>
          <w:jc w:val="center"/>
          <w:trHeight w:val="354"/>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pStyle w:val="938"/>
              <w:jc w:val="center"/>
              <w:spacing w:before="0" w:beforeAutospacing="0" w:after="0" w:afterAutospacing="0"/>
              <w:rPr>
                <w:rFonts w:hint="eastAsia"/>
                <w:bCs/>
                <w:color w:val="auto"/>
                <w:highlight w:val="none"/>
              </w:rPr>
            </w:pPr>
            <w:r>
              <w:rPr>
                <w:rFonts w:hint="eastAsia"/>
                <w:bCs/>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pStyle w:val="938"/>
              <w:jc w:val="center"/>
              <w:spacing w:before="0" w:beforeAutospacing="0" w:after="0" w:afterAutospacing="0"/>
              <w:rPr>
                <w:rFonts w:hint="eastAsia"/>
                <w:bCs/>
                <w:color w:val="auto"/>
                <w:highlight w:val="none"/>
              </w:rPr>
            </w:pPr>
            <w:r>
              <w:rPr>
                <w:rFonts w:hint="eastAsia"/>
                <w:bCs/>
                <w:color w:val="auto"/>
                <w:highlight w:val="none"/>
              </w:rPr>
              <w:t xml:space="preserve">评分标准</w:t>
            </w:r>
            <w:r/>
          </w:p>
        </w:tc>
      </w:tr>
      <w:tr>
        <w:trPr>
          <w:jc w:val="center"/>
          <w:trHeight w:val="2240"/>
        </w:trPr>
        <w:tc>
          <w:tcPr>
            <w:tcBorders>
              <w:top w:val="single" w:color="auto" w:sz="4" w:space="0"/>
              <w:left w:val="single" w:color="auto" w:sz="4" w:space="0"/>
              <w:bottom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价格</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（30分）</w:t>
            </w:r>
            <w:r/>
          </w:p>
        </w:tc>
        <w:tc>
          <w:tcPr>
            <w:tcBorders>
              <w:top w:val="single" w:color="auto" w:sz="4" w:space="0"/>
              <w:left w:val="single" w:color="auto" w:sz="4" w:space="0"/>
              <w:bottom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以满足</w:t>
            </w:r>
            <w:r>
              <w:rPr>
                <w:rFonts w:hint="eastAsia" w:ascii="宋体" w:hAnsi="宋体"/>
                <w:color w:val="auto"/>
                <w:sz w:val="21"/>
                <w:szCs w:val="21"/>
                <w:highlight w:val="none"/>
                <w:lang w:val="en-US" w:eastAsia="zh-CN"/>
              </w:rPr>
              <w:t xml:space="preserve">招标</w:t>
            </w:r>
            <w:r>
              <w:rPr>
                <w:rFonts w:hint="eastAsia" w:ascii="宋体" w:hAnsi="宋体"/>
                <w:color w:val="auto"/>
                <w:sz w:val="21"/>
                <w:szCs w:val="21"/>
                <w:highlight w:val="none"/>
                <w:lang w:val="zh-CN"/>
              </w:rPr>
              <w:t xml:space="preserve">文件要求的最低报价为基准价，得满分30分，其它报价得分＝（基准价/其他报价）×30。</w:t>
            </w:r>
            <w:r/>
          </w:p>
          <w:p>
            <w:pPr>
              <w:jc w:val="left"/>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b/>
                <w:color w:val="auto"/>
                <w:szCs w:val="21"/>
                <w:highlight w:val="none"/>
              </w:rPr>
              <w:t xml:space="preserve">注：评标委员会认为</w:t>
            </w:r>
            <w:r>
              <w:rPr>
                <w:rFonts w:hint="eastAsia" w:ascii="宋体" w:hAnsi="宋体" w:cs="宋体"/>
                <w:b/>
                <w:color w:val="auto"/>
                <w:szCs w:val="21"/>
                <w:highlight w:val="none"/>
                <w:lang w:val="en-US" w:eastAsia="zh-CN"/>
              </w:rPr>
              <w:t xml:space="preserve">投标人</w:t>
            </w:r>
            <w:r>
              <w:rPr>
                <w:rFonts w:hint="eastAsia" w:ascii="宋体" w:hAnsi="宋体" w:cs="宋体"/>
                <w:b/>
                <w:color w:val="auto"/>
                <w:szCs w:val="21"/>
                <w:highlight w:val="none"/>
              </w:rPr>
              <w:t xml:space="preserve">的报价明显低于其他通过符合性审查供应商的报价，有可能影响产品质量或者不能诚信履约的，应当要求其在评标现场合理的时间内提供说明，必要时提交相关证明材料；</w:t>
            </w:r>
            <w:r>
              <w:rPr>
                <w:rFonts w:hint="eastAsia" w:ascii="宋体" w:hAnsi="宋体" w:cs="宋体"/>
                <w:b/>
                <w:color w:val="auto"/>
                <w:szCs w:val="21"/>
                <w:highlight w:val="none"/>
                <w:lang w:val="en-US" w:eastAsia="zh-CN"/>
              </w:rPr>
              <w:t xml:space="preserve">投标人</w:t>
            </w:r>
            <w:r>
              <w:rPr>
                <w:rFonts w:hint="eastAsia" w:ascii="宋体" w:hAnsi="宋体" w:cs="宋体"/>
                <w:b/>
                <w:color w:val="auto"/>
                <w:szCs w:val="21"/>
                <w:highlight w:val="none"/>
              </w:rPr>
              <w:t xml:space="preserve">不能证明其报价合理性的，评标委员会应当将其作为无效投标处理。</w:t>
            </w:r>
            <w:r/>
          </w:p>
        </w:tc>
      </w:tr>
      <w:tr>
        <w:trPr>
          <w:jc w:val="center"/>
          <w:trHeight w:val="90"/>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技术要求</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（14分）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所投产品技术指标完全满足招标文件技术要求的，得14分。</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主要技术指标（标注“</w:t>
            </w:r>
            <w:r>
              <w:rPr>
                <w:rFonts w:hint="eastAsia" w:ascii="宋体" w:hAnsi="宋体" w:cs="宋体"/>
                <w:color w:val="000000"/>
                <w:szCs w:val="21"/>
                <w:highlight w:val="none"/>
                <w:lang w:val="zh-CN"/>
              </w:rPr>
              <w:t xml:space="preserve">▲</w:t>
            </w:r>
            <w:r>
              <w:rPr>
                <w:rFonts w:hint="eastAsia" w:ascii="宋体" w:hAnsi="宋体"/>
                <w:color w:val="auto"/>
                <w:sz w:val="21"/>
                <w:szCs w:val="21"/>
                <w:highlight w:val="none"/>
                <w:lang w:val="en-US" w:eastAsia="zh-CN"/>
              </w:rPr>
              <w:t xml:space="preserve">”的条款）每出现一项偏离扣2分，扣完为止。</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所投产品其他指标（未标注“</w:t>
            </w:r>
            <w:r>
              <w:rPr>
                <w:rFonts w:hint="eastAsia" w:ascii="宋体" w:hAnsi="宋体" w:cs="宋体"/>
                <w:color w:val="000000"/>
                <w:szCs w:val="21"/>
                <w:highlight w:val="none"/>
                <w:lang w:val="zh-CN"/>
              </w:rPr>
              <w:t xml:space="preserve">▲</w:t>
            </w:r>
            <w:r>
              <w:rPr>
                <w:rFonts w:hint="eastAsia" w:ascii="宋体" w:hAnsi="宋体"/>
                <w:color w:val="auto"/>
                <w:sz w:val="21"/>
                <w:szCs w:val="21"/>
                <w:highlight w:val="none"/>
                <w:lang w:val="en-US" w:eastAsia="zh-CN"/>
              </w:rPr>
              <w:t xml:space="preserve">”的条款）每出现一项偏离扣0.5分，扣完为止。</w:t>
            </w:r>
            <w:r/>
          </w:p>
          <w:p>
            <w:pPr>
              <w:ind w:firstLine="422"/>
              <w:jc w:val="both"/>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b/>
                <w:bCs/>
                <w:i w:val="0"/>
                <w:iCs w:val="0"/>
                <w:color w:val="auto"/>
                <w:sz w:val="21"/>
                <w:szCs w:val="21"/>
                <w:highlight w:val="none"/>
                <w:u w:val="none"/>
                <w:lang w:val="en-US" w:eastAsia="zh-CN"/>
              </w:rPr>
              <w:t xml:space="preserve">（标注“</w:t>
            </w:r>
            <w:r>
              <w:rPr>
                <w:rFonts w:hint="eastAsia" w:ascii="宋体" w:hAnsi="宋体" w:cs="宋体"/>
                <w:color w:val="000000"/>
                <w:szCs w:val="21"/>
                <w:highlight w:val="none"/>
                <w:lang w:val="zh-CN"/>
              </w:rPr>
              <w:t xml:space="preserve">▲</w:t>
            </w:r>
            <w:r>
              <w:rPr>
                <w:rFonts w:hint="eastAsia" w:ascii="宋体" w:hAnsi="宋体"/>
                <w:b/>
                <w:bCs/>
                <w:i w:val="0"/>
                <w:iCs w:val="0"/>
                <w:color w:val="auto"/>
                <w:sz w:val="21"/>
                <w:szCs w:val="21"/>
                <w:highlight w:val="none"/>
                <w:u w:val="none"/>
                <w:lang w:val="en-US" w:eastAsia="zh-CN"/>
              </w:rPr>
              <w:t xml:space="preserve">”的须提供相关证明材料</w:t>
            </w:r>
            <w:r>
              <w:rPr>
                <w:rFonts w:hint="default" w:ascii="宋体" w:hAnsi="宋体"/>
                <w:b/>
                <w:bCs/>
                <w:i w:val="0"/>
                <w:iCs w:val="0"/>
                <w:color w:val="auto"/>
                <w:sz w:val="21"/>
                <w:szCs w:val="21"/>
                <w:highlight w:val="none"/>
                <w:u w:val="none"/>
                <w:lang w:val="en-US" w:eastAsia="zh-CN"/>
              </w:rPr>
              <w:t xml:space="preserve">的</w:t>
            </w:r>
            <w:r>
              <w:rPr>
                <w:rFonts w:hint="eastAsia" w:ascii="宋体" w:hAnsi="宋体"/>
                <w:b/>
                <w:bCs/>
                <w:i w:val="0"/>
                <w:iCs w:val="0"/>
                <w:color w:val="auto"/>
                <w:sz w:val="21"/>
                <w:szCs w:val="21"/>
                <w:highlight w:val="none"/>
                <w:u w:val="none"/>
                <w:lang w:val="en-US" w:eastAsia="zh-CN"/>
              </w:rPr>
              <w:t xml:space="preserve">原件并扫描上传；未标注“</w:t>
            </w:r>
            <w:r>
              <w:rPr>
                <w:rFonts w:hint="eastAsia" w:ascii="宋体" w:hAnsi="宋体" w:cs="宋体"/>
                <w:color w:val="000000"/>
                <w:szCs w:val="21"/>
                <w:highlight w:val="none"/>
                <w:lang w:val="zh-CN"/>
              </w:rPr>
              <w:t xml:space="preserve">▲</w:t>
            </w:r>
            <w:r>
              <w:rPr>
                <w:rFonts w:hint="eastAsia" w:ascii="宋体" w:hAnsi="宋体"/>
                <w:b/>
                <w:bCs/>
                <w:i w:val="0"/>
                <w:iCs w:val="0"/>
                <w:color w:val="auto"/>
                <w:sz w:val="21"/>
                <w:szCs w:val="21"/>
                <w:highlight w:val="none"/>
                <w:u w:val="none"/>
                <w:lang w:val="en-US" w:eastAsia="zh-CN"/>
              </w:rPr>
              <w:t xml:space="preserve">”的条款提供技术要求响应及偏离表；不提供的不得分）</w:t>
            </w:r>
            <w:r/>
          </w:p>
        </w:tc>
      </w:tr>
      <w:tr>
        <w:trPr>
          <w:jc w:val="center"/>
          <w:trHeight w:val="2414"/>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视频演示</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投标人提供所投产品的视频演示。根据视频演示内容的完整性、实用性、功能性、演示形象直观性等进行综合评定。</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演示直观、内容完整、所投产品实用性功能性强得3分；演示较为直观，内容较为完整，所投产品实用性功能性较强得2分；演示不直观不完整，所投产品实用性功能性差得1分；未提供演示视频不得分。</w:t>
            </w:r>
            <w:r/>
          </w:p>
          <w:p>
            <w:pPr>
              <w:ind w:firstLine="422"/>
              <w:jc w:val="both"/>
              <w:keepLines w:val="0"/>
              <w:keepNext w:val="0"/>
              <w:pageBreakBefore w:val="0"/>
              <w:spacing w:line="240" w:lineRule="auto"/>
              <w:widowControl w:val="off"/>
              <w:rPr>
                <w:rFonts w:hint="eastAsia" w:ascii="宋体" w:hAnsi="宋体"/>
                <w:b/>
                <w:bCs/>
                <w:i w:val="0"/>
                <w:iCs w:val="0"/>
                <w:color w:val="auto"/>
                <w:sz w:val="21"/>
                <w:szCs w:val="21"/>
                <w:highlight w:val="none"/>
                <w:u w:val="none"/>
                <w:lang w:val="en-US" w:eastAsia="zh-CN"/>
              </w:rPr>
            </w:pPr>
            <w:r>
              <w:rPr>
                <w:rFonts w:hint="eastAsia" w:ascii="宋体" w:hAnsi="宋体"/>
                <w:b/>
                <w:bCs/>
                <w:color w:val="auto"/>
                <w:sz w:val="21"/>
                <w:szCs w:val="21"/>
                <w:highlight w:val="none"/>
                <w:lang w:val="en-US" w:eastAsia="zh-CN"/>
              </w:rPr>
              <w:t xml:space="preserve">注：提供所投产品实际使用的视频资料（评审时，如投标人提供的相关视频资料无法演示或与需求产品相符，视为不满足）。</w:t>
            </w:r>
            <w:r/>
          </w:p>
        </w:tc>
      </w:tr>
      <w:tr>
        <w:trPr>
          <w:jc w:val="center"/>
          <w:trHeight w:val="2953"/>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安全设计</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评价</w:t>
            </w:r>
            <w:r/>
          </w:p>
          <w:p>
            <w:pPr>
              <w:jc w:val="cente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（9分）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针对本项目采购内容，投标人须提交关于投标产品的安全设计功能方案。评标人将依据投标人所提供的方案的完整性、详尽性、安全实用性、合理性支撑以及创新性等方面进行综合评定。本项最高得分9分。</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1、低压电工、高压电工作业电气安全设计方案：完整、详尽、安全创新的得3分，较为完整详尽的得2分，一般的得1分，其他或未提供不得分。</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2、熔化焊接与热切割作业考场安全设计方案：完整、详尽、安全创新的得3分，较为完整详尽的得2分，一般的得1分，其他或未提供不得分。</w:t>
            </w:r>
            <w:r/>
          </w:p>
          <w:p>
            <w:pPr>
              <w:ind w:firstLine="420"/>
              <w:jc w:val="both"/>
              <w:keepLines w:val="0"/>
              <w:keepNext w:val="0"/>
              <w:pageBreakBefore w:val="0"/>
              <w:spacing w:line="240" w:lineRule="auto"/>
              <w:widowControl w:val="off"/>
              <w:rPr>
                <w:rFonts w:hint="eastAsia" w:ascii="宋体" w:hAnsi="宋体"/>
                <w:b/>
                <w:bCs/>
                <w:i w:val="0"/>
                <w:iCs w:val="0"/>
                <w:color w:val="auto"/>
                <w:sz w:val="21"/>
                <w:szCs w:val="21"/>
                <w:highlight w:val="none"/>
                <w:u w:val="none"/>
                <w:lang w:val="en-US" w:eastAsia="zh-CN"/>
              </w:rPr>
            </w:pPr>
            <w:r>
              <w:rPr>
                <w:rFonts w:hint="eastAsia" w:ascii="宋体" w:hAnsi="宋体"/>
                <w:color w:val="auto"/>
                <w:sz w:val="21"/>
                <w:szCs w:val="21"/>
                <w:highlight w:val="none"/>
                <w:lang w:val="en-US" w:eastAsia="zh-CN"/>
              </w:rPr>
              <w:t xml:space="preserve">3、高处作业、登高作业考场安全设计方案：完整、详尽、安全创新的得3分，较为完整详尽的得2分，一般的得1分，其他或未提供不得分。</w:t>
            </w:r>
            <w:r/>
          </w:p>
        </w:tc>
      </w:tr>
      <w:tr>
        <w:trPr>
          <w:jc w:val="center"/>
          <w:trHeight w:val="1760"/>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产品结构设计评价</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（5分）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人须提交针对本项目所投设备的产品设计方案，涵盖材料、工艺设计、结构、模块、可维护性及用户体验便捷程度等方面。评标人将依据投标方案的专业性、成熟度、针对采购标的及实际特点的契合度，以及对用户使用有实质性辅助提升的效果进行综合评估。方案专业、成熟，与本项目契合度高的得5分，较为专业、成熟的得3分，一般的得1分，其他或未提供不得分。</w:t>
            </w:r>
            <w:r/>
          </w:p>
        </w:tc>
      </w:tr>
      <w:tr>
        <w:trPr>
          <w:jc w:val="center"/>
          <w:trHeight w:val="2429"/>
        </w:trPr>
        <w:tc>
          <w:tcPr>
            <w:tcBorders>
              <w:left w:val="single" w:color="auto" w:sz="4" w:space="0"/>
              <w:right w:val="single" w:color="auto" w:sz="4" w:space="0"/>
            </w:tcBorders>
            <w:tcW w:w="1250" w:type="dxa"/>
            <w:vAlign w:val="center"/>
            <w:textDirection w:val="lrTb"/>
            <w:noWrap w:val="false"/>
          </w:tcPr>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场地布局整体规划</w:t>
            </w:r>
            <w:r/>
          </w:p>
          <w:p>
            <w:pPr>
              <w:pStyle w:val="978"/>
              <w:ind w:firstLine="0"/>
              <w:jc w:val="center"/>
              <w:spacing w:line="240" w:lineRule="auto"/>
              <w:shd w:val="clear" w:color="auto"/>
              <w:rPr>
                <w:rFonts w:hint="eastAsia" w:ascii="宋体" w:hAnsi="宋体" w:cs="宋体"/>
                <w:color w:val="000000"/>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w:t>
            </w:r>
            <w:r>
              <w:rPr>
                <w:rFonts w:hint="eastAsia" w:ascii="宋体" w:hAnsi="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根据投标人提交的设计效果进行评分，评分内容涵盖但不限于以下方面：设计效果是否紧贴项目主题，层次是否清晰，布局是否合理，展示主题是否突出鲜明，是否具备完整的基地总平面图、表现图（包括整体效果图和局部效果图）、基地详细图纸及基地平面文化设计方案。</w:t>
            </w:r>
            <w:r/>
          </w:p>
          <w:p>
            <w:pPr>
              <w:ind w:firstLine="420"/>
              <w:jc w:val="both"/>
              <w:keepLines w:val="0"/>
              <w:keepNext w:val="0"/>
              <w:pageBreakBefore w:val="0"/>
              <w:spacing w:line="24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方案完整、详尽，计划合理且可行，充分满足项目需求的，得5分；方案完整，总体科学合理且可行，虽部分内容表述不清但仍满足项目需求的，得3分；方案存在较多缺漏，但所提供内容总体合理的，得1分；其他或未提供不得分。</w:t>
            </w:r>
            <w:r/>
          </w:p>
        </w:tc>
      </w:tr>
      <w:tr>
        <w:trPr>
          <w:jc w:val="center"/>
          <w:trHeight w:val="1455"/>
        </w:trPr>
        <w:tc>
          <w:tcPr>
            <w:tcBorders>
              <w:left w:val="single" w:color="auto" w:sz="4" w:space="0"/>
              <w:right w:val="single" w:color="auto" w:sz="4" w:space="0"/>
            </w:tcBorders>
            <w:tcW w:w="1250" w:type="dxa"/>
            <w:vAlign w:val="center"/>
            <w:textDirection w:val="lrTb"/>
            <w:noWrap w:val="false"/>
          </w:tcPr>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安装调试</w:t>
            </w:r>
            <w:r/>
          </w:p>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方案</w:t>
            </w:r>
            <w:r/>
          </w:p>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根据投标人针对本项目提供的安装方案，包括但不限于安装工期安排、安装技术人员配备、现场安装流程、安装质量要求、安装验收方案等内容进行综合评分：</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 xml:space="preserve">方案有针对性、合理、可行、全面的得6分；方案较有针对性、较合理、较可行的得4分；方案合理性、可行性、针对性一般的得2分；其他或未提供不得分。</w:t>
            </w:r>
            <w:r/>
          </w:p>
        </w:tc>
      </w:tr>
      <w:tr>
        <w:trPr>
          <w:jc w:val="center"/>
          <w:trHeight w:val="1791"/>
        </w:trPr>
        <w:tc>
          <w:tcPr>
            <w:tcBorders>
              <w:left w:val="single" w:color="auto" w:sz="4" w:space="0"/>
              <w:right w:val="single" w:color="auto" w:sz="4" w:space="0"/>
            </w:tcBorders>
            <w:tcW w:w="1250" w:type="dxa"/>
            <w:vAlign w:val="center"/>
            <w:textDirection w:val="lrTb"/>
            <w:noWrap w:val="false"/>
          </w:tcPr>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培训方案</w:t>
            </w:r>
            <w:r/>
          </w:p>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根据投标人提供的培训方案，包括但不限于组织形式、师资安排、时间安排、培训内容的针对性、设备适配性、培训效果等方面，进行综合评定。</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方案内容充实完善且具备培训讲师证明材料的得6分；方案内容较为完善且具备部分证明材料的得4分；方案内容缺失不完善且不具备讲师证明材料的得2分；其他或未提供不得分。</w:t>
            </w:r>
            <w:r/>
          </w:p>
        </w:tc>
      </w:tr>
      <w:tr>
        <w:trPr>
          <w:jc w:val="center"/>
          <w:trHeight w:val="2324"/>
        </w:trPr>
        <w:tc>
          <w:tcPr>
            <w:tcBorders>
              <w:left w:val="single" w:color="auto" w:sz="4" w:space="0"/>
              <w:right w:val="single" w:color="auto" w:sz="4" w:space="0"/>
            </w:tcBorders>
            <w:tcW w:w="1250" w:type="dxa"/>
            <w:vAlign w:val="center"/>
            <w:textDirection w:val="lrTb"/>
            <w:noWrap w:val="false"/>
          </w:tcPr>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售后服务</w:t>
            </w:r>
            <w:r/>
          </w:p>
          <w:p>
            <w:pPr>
              <w:pStyle w:val="978"/>
              <w:ind w:firstLine="0"/>
              <w:jc w:val="center"/>
              <w:spacing w:line="240" w:lineRule="auto"/>
              <w:shd w:val="clear" w:color="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zh-CN" w:eastAsia="zh-CN"/>
              </w:rPr>
            </w:pPr>
            <w:r>
              <w:rPr>
                <w:rFonts w:hint="eastAsia" w:ascii="宋体" w:hAnsi="宋体"/>
                <w:color w:val="auto"/>
                <w:sz w:val="21"/>
                <w:szCs w:val="21"/>
                <w:highlight w:val="none"/>
                <w:lang w:val="en-US" w:eastAsia="zh-CN"/>
              </w:rPr>
              <w:t xml:space="preserve">根据投标人针对本项目制定的</w:t>
            </w:r>
            <w:r>
              <w:rPr>
                <w:rFonts w:hint="eastAsia" w:ascii="宋体" w:hAnsi="宋体"/>
                <w:color w:val="auto"/>
                <w:sz w:val="21"/>
                <w:szCs w:val="21"/>
                <w:highlight w:val="none"/>
                <w:lang w:val="zh-CN" w:eastAsia="zh-CN"/>
              </w:rPr>
              <w:t xml:space="preserve">售后服务方案，</w:t>
            </w:r>
            <w:r>
              <w:rPr>
                <w:rFonts w:hint="eastAsia" w:ascii="宋体" w:hAnsi="宋体"/>
                <w:color w:val="auto"/>
                <w:sz w:val="21"/>
                <w:szCs w:val="21"/>
                <w:highlight w:val="none"/>
                <w:lang w:val="en-US" w:eastAsia="zh-CN"/>
              </w:rPr>
              <w:t xml:space="preserve">包括但不限于</w:t>
            </w:r>
            <w:r>
              <w:rPr>
                <w:rFonts w:hint="eastAsia" w:ascii="宋体" w:hAnsi="宋体"/>
                <w:color w:val="auto"/>
                <w:sz w:val="21"/>
                <w:szCs w:val="21"/>
                <w:highlight w:val="none"/>
                <w:lang w:val="zh-CN" w:eastAsia="zh-CN"/>
              </w:rPr>
              <w:t xml:space="preserve">包括服务的响应时间、解决问题的能力、紧急故障处理预案、备品备件、技术指导、质保内容、质保期后的维保方案</w:t>
            </w:r>
            <w:r>
              <w:rPr>
                <w:rFonts w:hint="eastAsia" w:ascii="宋体" w:hAnsi="宋体"/>
                <w:color w:val="auto"/>
                <w:sz w:val="21"/>
                <w:szCs w:val="21"/>
                <w:highlight w:val="none"/>
                <w:lang w:val="en-US" w:eastAsia="zh-CN"/>
              </w:rPr>
              <w:t xml:space="preserve">等方面，进行综合评定</w:t>
            </w:r>
            <w:r>
              <w:rPr>
                <w:rFonts w:hint="eastAsia" w:ascii="宋体" w:hAnsi="宋体"/>
                <w:color w:val="auto"/>
                <w:sz w:val="21"/>
                <w:szCs w:val="21"/>
                <w:highlight w:val="none"/>
                <w:lang w:val="zh-CN" w:eastAsia="zh-CN"/>
              </w:rPr>
              <w:t xml:space="preserve">。</w:t>
            </w:r>
            <w:r/>
          </w:p>
          <w:p>
            <w:pPr>
              <w:ind w:firstLine="420"/>
              <w:jc w:val="both"/>
              <w:keepLines w:val="0"/>
              <w:keepNext w:val="0"/>
              <w:pageBreakBefore w:val="0"/>
              <w:spacing w:line="240" w:lineRule="auto"/>
              <w:widowControl w:val="off"/>
              <w:rPr>
                <w:rFonts w:hint="eastAsia" w:ascii="宋体" w:hAnsi="宋体"/>
                <w:color w:val="auto"/>
                <w:sz w:val="21"/>
                <w:szCs w:val="21"/>
                <w:highlight w:val="none"/>
                <w:lang w:val="zh-CN" w:eastAsia="zh-CN"/>
              </w:rPr>
            </w:pPr>
            <w:r>
              <w:rPr>
                <w:rFonts w:hint="eastAsia" w:ascii="宋体" w:hAnsi="宋体"/>
                <w:color w:val="auto"/>
                <w:sz w:val="21"/>
                <w:szCs w:val="21"/>
                <w:highlight w:val="none"/>
                <w:lang w:val="zh-CN" w:eastAsia="zh-CN"/>
              </w:rPr>
              <w:t xml:space="preserve">售后服务方案</w:t>
            </w:r>
            <w:r>
              <w:rPr>
                <w:rFonts w:hint="eastAsia" w:ascii="宋体" w:hAnsi="宋体"/>
                <w:color w:val="auto"/>
                <w:sz w:val="21"/>
                <w:szCs w:val="21"/>
                <w:highlight w:val="none"/>
                <w:lang w:val="en-US" w:eastAsia="zh-CN"/>
              </w:rPr>
              <w:t xml:space="preserve">详细完整</w:t>
            </w:r>
            <w:r>
              <w:rPr>
                <w:rFonts w:hint="eastAsia" w:ascii="宋体" w:hAnsi="宋体"/>
                <w:color w:val="auto"/>
                <w:sz w:val="21"/>
                <w:szCs w:val="21"/>
                <w:highlight w:val="none"/>
                <w:lang w:val="zh-CN" w:eastAsia="zh-CN"/>
              </w:rPr>
              <w:t xml:space="preserve">、解决问题的预案完整、备品备件充足、质保及质保期后的维保方案完善的得</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eastAsia="zh-CN"/>
              </w:rPr>
              <w:t xml:space="preserve">分；售后服务方案</w:t>
            </w:r>
            <w:r>
              <w:rPr>
                <w:rFonts w:hint="eastAsia" w:ascii="宋体" w:hAnsi="宋体"/>
                <w:color w:val="auto"/>
                <w:sz w:val="21"/>
                <w:szCs w:val="21"/>
                <w:highlight w:val="none"/>
                <w:lang w:val="en-US" w:eastAsia="zh-CN"/>
              </w:rPr>
              <w:t xml:space="preserve">基本完整</w:t>
            </w:r>
            <w:r>
              <w:rPr>
                <w:rFonts w:hint="eastAsia" w:ascii="宋体" w:hAnsi="宋体"/>
                <w:color w:val="auto"/>
                <w:sz w:val="21"/>
                <w:szCs w:val="21"/>
                <w:highlight w:val="none"/>
                <w:lang w:val="zh-CN" w:eastAsia="zh-CN"/>
              </w:rPr>
              <w:t xml:space="preserve">、解决问题的预案</w:t>
            </w:r>
            <w:r>
              <w:rPr>
                <w:rFonts w:hint="eastAsia" w:ascii="宋体" w:hAnsi="宋体"/>
                <w:color w:val="auto"/>
                <w:sz w:val="21"/>
                <w:szCs w:val="21"/>
                <w:highlight w:val="none"/>
                <w:lang w:val="en-US" w:eastAsia="zh-CN"/>
              </w:rPr>
              <w:t xml:space="preserve">基本</w:t>
            </w:r>
            <w:r>
              <w:rPr>
                <w:rFonts w:hint="eastAsia" w:ascii="宋体" w:hAnsi="宋体"/>
                <w:color w:val="auto"/>
                <w:sz w:val="21"/>
                <w:szCs w:val="21"/>
                <w:highlight w:val="none"/>
                <w:lang w:val="zh-CN" w:eastAsia="zh-CN"/>
              </w:rPr>
              <w:t xml:space="preserve">完整、备品备件</w:t>
            </w:r>
            <w:r>
              <w:rPr>
                <w:rFonts w:hint="eastAsia" w:ascii="宋体" w:hAnsi="宋体"/>
                <w:color w:val="auto"/>
                <w:sz w:val="21"/>
                <w:szCs w:val="21"/>
                <w:highlight w:val="none"/>
                <w:lang w:val="en-US" w:eastAsia="zh-CN"/>
              </w:rPr>
              <w:t xml:space="preserve">较</w:t>
            </w:r>
            <w:r>
              <w:rPr>
                <w:rFonts w:hint="eastAsia" w:ascii="宋体" w:hAnsi="宋体"/>
                <w:color w:val="auto"/>
                <w:sz w:val="21"/>
                <w:szCs w:val="21"/>
                <w:highlight w:val="none"/>
                <w:lang w:val="zh-CN" w:eastAsia="zh-CN"/>
              </w:rPr>
              <w:t xml:space="preserve">充足、质保及质保期后的维保方案</w:t>
            </w:r>
            <w:r>
              <w:rPr>
                <w:rFonts w:hint="eastAsia" w:ascii="宋体" w:hAnsi="宋体"/>
                <w:color w:val="auto"/>
                <w:sz w:val="21"/>
                <w:szCs w:val="21"/>
                <w:highlight w:val="none"/>
                <w:lang w:val="en-US" w:eastAsia="zh-CN"/>
              </w:rPr>
              <w:t xml:space="preserve">基本</w:t>
            </w:r>
            <w:r>
              <w:rPr>
                <w:rFonts w:hint="eastAsia" w:ascii="宋体" w:hAnsi="宋体"/>
                <w:color w:val="auto"/>
                <w:sz w:val="21"/>
                <w:szCs w:val="21"/>
                <w:highlight w:val="none"/>
                <w:lang w:val="zh-CN" w:eastAsia="zh-CN"/>
              </w:rPr>
              <w:t xml:space="preserve">完善的得</w:t>
            </w:r>
            <w:r>
              <w:rPr>
                <w:rFonts w:hint="eastAsia" w:ascii="宋体" w:hAnsi="宋体"/>
                <w:color w:val="auto"/>
                <w:sz w:val="21"/>
                <w:szCs w:val="21"/>
                <w:highlight w:val="none"/>
                <w:lang w:val="en-US" w:eastAsia="zh-CN"/>
              </w:rPr>
              <w:t xml:space="preserve">4分</w:t>
            </w:r>
            <w:r>
              <w:rPr>
                <w:rFonts w:hint="eastAsia" w:ascii="宋体" w:hAnsi="宋体"/>
                <w:color w:val="auto"/>
                <w:sz w:val="21"/>
                <w:szCs w:val="21"/>
                <w:highlight w:val="none"/>
                <w:lang w:val="zh-CN" w:eastAsia="zh-CN"/>
              </w:rPr>
              <w:t xml:space="preserve">；售后服务方案</w:t>
            </w:r>
            <w:r>
              <w:rPr>
                <w:rFonts w:hint="eastAsia" w:ascii="宋体" w:hAnsi="宋体"/>
                <w:color w:val="auto"/>
                <w:sz w:val="21"/>
                <w:szCs w:val="21"/>
                <w:highlight w:val="none"/>
                <w:lang w:val="en-US" w:eastAsia="zh-CN"/>
              </w:rPr>
              <w:t xml:space="preserve">片面或有缺陷的</w:t>
            </w:r>
            <w:r>
              <w:rPr>
                <w:rFonts w:hint="eastAsia" w:ascii="宋体" w:hAnsi="宋体"/>
                <w:color w:val="auto"/>
                <w:sz w:val="21"/>
                <w:szCs w:val="21"/>
                <w:highlight w:val="none"/>
                <w:lang w:val="zh-CN" w:eastAsia="zh-CN"/>
              </w:rPr>
              <w:t xml:space="preserve">得</w:t>
            </w:r>
            <w:r>
              <w:rPr>
                <w:rFonts w:hint="eastAsia" w:ascii="宋体" w:hAnsi="宋体"/>
                <w:color w:val="auto"/>
                <w:sz w:val="21"/>
                <w:szCs w:val="21"/>
                <w:highlight w:val="none"/>
                <w:lang w:val="en-US" w:eastAsia="zh-CN"/>
              </w:rPr>
              <w:t xml:space="preserve">2分</w:t>
            </w:r>
            <w:r>
              <w:rPr>
                <w:rFonts w:hint="eastAsia" w:ascii="宋体" w:hAnsi="宋体"/>
                <w:color w:val="auto"/>
                <w:sz w:val="21"/>
                <w:szCs w:val="21"/>
                <w:highlight w:val="none"/>
                <w:lang w:val="zh-CN" w:eastAsia="zh-CN"/>
              </w:rPr>
              <w:t xml:space="preserve">；</w:t>
            </w:r>
            <w:r/>
          </w:p>
          <w:p>
            <w:pPr>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其他或未提供不得分。</w:t>
            </w:r>
            <w:r/>
          </w:p>
        </w:tc>
      </w:tr>
      <w:tr>
        <w:trPr>
          <w:jc w:val="center"/>
          <w:trHeight w:val="1441"/>
        </w:trPr>
        <w:tc>
          <w:tcPr>
            <w:tcBorders>
              <w:left w:val="single" w:color="auto" w:sz="4" w:space="0"/>
              <w:right w:val="single" w:color="auto" w:sz="4" w:space="0"/>
            </w:tcBorders>
            <w:tcW w:w="1250" w:type="dxa"/>
            <w:vAlign w:val="center"/>
            <w:textDirection w:val="lrTb"/>
            <w:noWrap w:val="false"/>
          </w:tcPr>
          <w:p>
            <w:pPr>
              <w:pStyle w:val="978"/>
              <w:ind w:firstLine="0"/>
              <w:jc w:val="center"/>
              <w:spacing w:line="240" w:lineRule="auto"/>
              <w:shd w:val="clear" w:color="auto"/>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质量管理体系及保证措施</w:t>
            </w:r>
            <w:r/>
          </w:p>
          <w:p>
            <w:pPr>
              <w:pStyle w:val="978"/>
              <w:ind w:firstLine="0"/>
              <w:jc w:val="center"/>
              <w:spacing w:line="240" w:lineRule="auto"/>
              <w:shd w:val="clear" w:color="auto"/>
              <w:rPr>
                <w:rFonts w:hint="eastAsia" w:ascii="宋体" w:hAnsi="宋体"/>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zh-CN" w:eastAsia="zh-CN" w:bidi="ar-SA"/>
              </w:rPr>
              <w:t xml:space="preserve">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根据投标人针对本项目制定的质量保证体系及保证措施，包括但不限于制定完整的质量保证体系、针对质量目标措施及质量控制的保证措施等方面，进行综合评定</w:t>
            </w:r>
            <w:r>
              <w:rPr>
                <w:rFonts w:hint="eastAsia" w:ascii="宋体" w:hAnsi="宋体"/>
                <w:color w:val="auto"/>
                <w:sz w:val="21"/>
                <w:szCs w:val="21"/>
                <w:highlight w:val="none"/>
                <w:lang w:val="zh-CN" w:eastAsia="zh-CN"/>
              </w:rPr>
              <w:t xml:space="preserve">。</w:t>
            </w:r>
            <w:r/>
          </w:p>
          <w:p>
            <w:pPr>
              <w:ind w:firstLine="420"/>
              <w:jc w:val="both"/>
              <w:keepLines w:val="0"/>
              <w:keepNext w:val="0"/>
              <w:pageBreakBefore w:val="0"/>
              <w:spacing w:line="240" w:lineRule="auto"/>
              <w:widowControl w:val="off"/>
              <w:rPr>
                <w:rFonts w:hint="eastAsia" w:ascii="宋体" w:hAnsi="宋体"/>
                <w:b/>
                <w:bCs/>
                <w:color w:val="auto"/>
                <w:sz w:val="21"/>
                <w:szCs w:val="21"/>
                <w:highlight w:val="none"/>
                <w:lang w:val="en-US" w:eastAsia="zh-CN"/>
              </w:rPr>
            </w:pPr>
            <w:r>
              <w:rPr>
                <w:rFonts w:hint="eastAsia" w:ascii="宋体" w:hAnsi="宋体"/>
                <w:color w:val="auto"/>
                <w:sz w:val="21"/>
                <w:szCs w:val="21"/>
                <w:highlight w:val="none"/>
                <w:lang w:val="en-US" w:eastAsia="zh-CN"/>
              </w:rPr>
              <w:t xml:space="preserve">方案容具有完整的针对性和实用性的得6分，方案较为完整的得4分，方案一般的得2分，其他或未提供不得分。</w:t>
            </w:r>
            <w:r/>
          </w:p>
        </w:tc>
      </w:tr>
      <w:tr>
        <w:trPr>
          <w:jc w:val="center"/>
          <w:trHeight w:val="1171"/>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项目经理</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项目经理具备项目管理专业资格证书的，得1分。</w:t>
            </w:r>
            <w:r/>
          </w:p>
          <w:p>
            <w:pPr>
              <w:jc w:val="both"/>
              <w:keepLines w:val="0"/>
              <w:keepNext w:val="0"/>
              <w:pageBreakBefore w:val="0"/>
              <w:spacing w:line="240" w:lineRule="auto"/>
              <w:widowControl w:val="off"/>
              <w:rPr>
                <w:rFonts w:hint="eastAsia" w:ascii="宋体" w:hAnsi="宋体" w:cs="宋体"/>
                <w:b/>
                <w:bCs/>
                <w:color w:val="auto"/>
                <w:sz w:val="22"/>
                <w:szCs w:val="22"/>
                <w:highlight w:val="none"/>
              </w:rPr>
            </w:pPr>
            <w:r>
              <w:rPr>
                <w:rFonts w:hint="eastAsia" w:ascii="宋体" w:hAnsi="宋体"/>
                <w:b/>
                <w:bCs/>
                <w:color w:val="auto"/>
                <w:sz w:val="21"/>
                <w:szCs w:val="21"/>
                <w:highlight w:val="none"/>
                <w:lang w:val="en-US" w:eastAsia="zh-CN"/>
              </w:rPr>
              <w:t xml:space="preserve">（提供证书原件，并提供投标人为其缴纳的近三个月内任意一个月社保证明材料，不提供的不得分）</w:t>
            </w:r>
            <w:r/>
          </w:p>
        </w:tc>
      </w:tr>
      <w:tr>
        <w:trPr>
          <w:jc w:val="center"/>
          <w:trHeight w:val="1216"/>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类似业绩</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（2分）</w:t>
            </w:r>
            <w:r/>
          </w:p>
        </w:tc>
        <w:tc>
          <w:tcPr>
            <w:tcBorders>
              <w:left w:val="single" w:color="auto" w:sz="4" w:space="0"/>
              <w:right w:val="single" w:color="auto" w:sz="4" w:space="0"/>
            </w:tcBorders>
            <w:tcW w:w="8308" w:type="dxa"/>
            <w:vAlign w:val="center"/>
            <w:textDirection w:val="lrTb"/>
            <w:noWrap w:val="false"/>
          </w:tcPr>
          <w:p>
            <w:pPr>
              <w:ind w:firstLine="420"/>
              <w:jc w:val="both"/>
              <w:keepLines w:val="0"/>
              <w:keepNext w:val="0"/>
              <w:pageBreakBefore w:val="0"/>
              <w:spacing w:line="240" w:lineRule="auto"/>
              <w:widowControl w:val="off"/>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投标人20</w:t>
            </w:r>
            <w:r>
              <w:rPr>
                <w:rFonts w:hint="eastAsia" w:ascii="宋体" w:hAnsi="宋体"/>
                <w:color w:val="auto"/>
                <w:sz w:val="21"/>
                <w:szCs w:val="21"/>
                <w:highlight w:val="none"/>
                <w:lang w:val="en-US" w:eastAsia="zh-CN"/>
              </w:rPr>
              <w:t xml:space="preserve">22</w:t>
            </w:r>
            <w:r>
              <w:rPr>
                <w:rFonts w:hint="eastAsia" w:ascii="宋体" w:hAnsi="宋体"/>
                <w:color w:val="auto"/>
                <w:sz w:val="21"/>
                <w:szCs w:val="21"/>
                <w:highlight w:val="none"/>
                <w:lang w:val="zh-CN"/>
              </w:rPr>
              <w:t xml:space="preserve">年1月1日以来（以合同签订时间为准），具有类似</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lang w:val="zh-CN"/>
              </w:rPr>
              <w:t xml:space="preserve">项目业绩，每有1个得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val="zh-CN"/>
              </w:rPr>
              <w:t xml:space="preserve">分，满分</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val="zh-CN"/>
              </w:rPr>
              <w:t xml:space="preserve">分。</w:t>
            </w:r>
            <w:r/>
          </w:p>
          <w:p>
            <w:pPr>
              <w:jc w:val="left"/>
              <w:keepLines w:val="0"/>
              <w:keepNext w:val="0"/>
              <w:pageBreakBefore w:val="0"/>
              <w:spacing w:line="240" w:lineRule="auto"/>
              <w:widowControl w:val="off"/>
              <w:rPr>
                <w:rFonts w:hint="eastAsia" w:cs="宋体" w:asciiTheme="minorEastAsia" w:hAnsiTheme="minorEastAsia" w:eastAsiaTheme="minorEastAsia"/>
                <w:highlight w:val="none"/>
              </w:rPr>
            </w:pPr>
            <w:r>
              <w:rPr>
                <w:rFonts w:hint="eastAsia" w:ascii="宋体" w:hAnsi="宋体" w:cs="宋体"/>
                <w:b/>
                <w:bCs/>
                <w:color w:val="auto"/>
                <w:sz w:val="22"/>
                <w:szCs w:val="22"/>
                <w:highlight w:val="none"/>
              </w:rPr>
              <w:t xml:space="preserve">（</w:t>
            </w:r>
            <w:r>
              <w:rPr>
                <w:rFonts w:hint="eastAsia" w:ascii="宋体" w:hAnsi="宋体" w:cs="宋体"/>
                <w:b/>
                <w:bCs/>
                <w:color w:val="auto"/>
                <w:szCs w:val="21"/>
                <w:highlight w:val="none"/>
              </w:rPr>
              <w:t xml:space="preserve">提供合同原件</w:t>
            </w:r>
            <w:r>
              <w:rPr>
                <w:rFonts w:hint="eastAsia" w:ascii="宋体" w:hAnsi="宋体" w:cs="宋体"/>
                <w:b/>
                <w:bCs/>
                <w:color w:val="auto"/>
                <w:szCs w:val="21"/>
                <w:highlight w:val="none"/>
                <w:lang w:val="en-US" w:eastAsia="zh-CN"/>
              </w:rPr>
              <w:t xml:space="preserve">并</w:t>
            </w:r>
            <w:r>
              <w:rPr>
                <w:rFonts w:hint="eastAsia" w:ascii="宋体" w:hAnsi="宋体" w:cs="宋体"/>
                <w:b/>
                <w:bCs/>
                <w:color w:val="auto"/>
                <w:szCs w:val="21"/>
                <w:highlight w:val="none"/>
              </w:rPr>
              <w:t xml:space="preserve">扫描上传</w:t>
            </w:r>
            <w:r>
              <w:rPr>
                <w:rFonts w:hint="eastAsia" w:ascii="宋体" w:hAnsi="宋体" w:cs="宋体"/>
                <w:b/>
                <w:bCs/>
                <w:color w:val="auto"/>
                <w:sz w:val="22"/>
                <w:szCs w:val="22"/>
                <w:highlight w:val="none"/>
              </w:rPr>
              <w:t xml:space="preserve">）</w:t>
            </w:r>
            <w:r/>
          </w:p>
        </w:tc>
      </w:tr>
      <w:tr>
        <w:trPr>
          <w:jc w:val="center"/>
          <w:trHeight w:val="2304"/>
        </w:trPr>
        <w:tc>
          <w:tcPr>
            <w:tcBorders>
              <w:left w:val="single" w:color="auto" w:sz="4" w:space="0"/>
              <w:right w:val="single" w:color="auto" w:sz="4" w:space="0"/>
            </w:tcBorders>
            <w:tcW w:w="1250" w:type="dxa"/>
            <w:vAlign w:val="center"/>
            <w:textDirection w:val="lrTb"/>
            <w:noWrap w:val="false"/>
          </w:tcPr>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企业实力</w:t>
            </w:r>
            <w:r/>
          </w:p>
          <w:p>
            <w:pPr>
              <w:jc w:val="center"/>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（7分）</w:t>
            </w:r>
            <w:r/>
          </w:p>
        </w:tc>
        <w:tc>
          <w:tcPr>
            <w:tcBorders>
              <w:left w:val="single" w:color="auto" w:sz="4" w:space="0"/>
              <w:right w:val="single" w:color="auto" w:sz="4" w:space="0"/>
            </w:tcBorders>
            <w:tcW w:w="8308" w:type="dxa"/>
            <w:vAlign w:val="center"/>
            <w:textDirection w:val="lrTb"/>
            <w:noWrap w:val="false"/>
          </w:tcPr>
          <w:p>
            <w:pPr>
              <w:numPr>
                <w:ilvl w:val="0"/>
                <w:numId w:val="7"/>
              </w:numPr>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投标人具有有效期内的知识产权管理体系认证证书，可获得1分；</w:t>
            </w:r>
            <w:r/>
          </w:p>
          <w:p>
            <w:pPr>
              <w:numPr>
                <w:ilvl w:val="0"/>
                <w:numId w:val="0"/>
              </w:numPr>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 投标人具有有效期内的信息安全管理体系认证证书，可获得1分；</w:t>
            </w:r>
            <w:r/>
          </w:p>
          <w:p>
            <w:pPr>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 投标人提供“安全标准化三级企业”证书，可获得3分；</w:t>
            </w:r>
            <w:r/>
          </w:p>
          <w:p>
            <w:pPr>
              <w:jc w:val="both"/>
              <w:keepLines w:val="0"/>
              <w:keepNext w:val="0"/>
              <w:pageBreakBefore w:val="0"/>
              <w:spacing w:line="240" w:lineRule="auto"/>
              <w:widowControl w:val="off"/>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 投标人具有工业设计中心，且提供市级及以上工业和信息化局出具的工业设计中心认定证明文件，得2分。</w:t>
            </w:r>
            <w:r/>
          </w:p>
          <w:p>
            <w:pPr>
              <w:jc w:val="both"/>
              <w:keepLines w:val="0"/>
              <w:keepNext w:val="0"/>
              <w:pageBreakBefore w:val="0"/>
              <w:spacing w:line="240" w:lineRule="auto"/>
              <w:widowControl w:val="off"/>
              <w:rPr>
                <w:rFonts w:hint="eastAsia"/>
                <w:highlight w:val="none"/>
              </w:rPr>
            </w:pPr>
            <w:r>
              <w:rPr>
                <w:rFonts w:hint="eastAsia" w:ascii="宋体" w:hAnsi="宋体"/>
                <w:b/>
                <w:bCs/>
                <w:color w:val="auto"/>
                <w:sz w:val="21"/>
                <w:szCs w:val="21"/>
                <w:highlight w:val="none"/>
                <w:lang w:val="en-US" w:eastAsia="zh-CN"/>
              </w:rPr>
              <w:t xml:space="preserve">（第1-3项提供证书原件并扫描上传，第4项提供证明文件原件并扫描上传，不提供的不得分）</w:t>
            </w:r>
            <w:r/>
          </w:p>
        </w:tc>
      </w:tr>
    </w:tbl>
    <w:p>
      <w:pPr>
        <w:ind w:firstLine="420"/>
        <w:jc w:val="both"/>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pStyle w:val="929"/>
        <w:rPr>
          <w:rFonts w:hint="eastAsia"/>
          <w:color w:val="auto"/>
          <w:highlight w:val="none"/>
        </w:rPr>
      </w:pPr>
      <w:r>
        <w:rPr>
          <w:rFonts w:hint="eastAsia"/>
          <w:color w:val="auto"/>
          <w:highlight w:val="none"/>
        </w:rPr>
      </w:r>
      <w:r/>
    </w:p>
    <w:p>
      <w:pPr>
        <w:pStyle w:val="929"/>
        <w:ind w:left="0"/>
        <w:rPr>
          <w:rFonts w:hint="eastAsia"/>
          <w:color w:val="auto"/>
          <w:highlight w:val="none"/>
        </w:rPr>
      </w:pPr>
      <w:r>
        <w:rPr>
          <w:rFonts w:hint="eastAsia"/>
          <w:color w:val="auto"/>
          <w:highlight w:val="none"/>
        </w:rPr>
      </w:r>
      <w:r/>
    </w:p>
    <w:p>
      <w:pPr>
        <w:pStyle w:val="929"/>
        <w:ind w:left="0"/>
        <w:rPr>
          <w:rFonts w:hint="eastAsia"/>
          <w:color w:val="auto"/>
          <w:highlight w:val="none"/>
        </w:rPr>
      </w:pPr>
      <w:r>
        <w:rPr>
          <w:rFonts w:hint="eastAsia"/>
          <w:color w:val="auto"/>
          <w:highlight w:val="none"/>
        </w:rPr>
      </w:r>
      <w:r/>
    </w:p>
    <w:p>
      <w:pPr>
        <w:pStyle w:val="918"/>
        <w:jc w:val="center"/>
        <w:rPr>
          <w:rFonts w:hint="eastAsia" w:ascii="宋体" w:hAnsi="宋体"/>
          <w:color w:val="auto"/>
          <w:sz w:val="36"/>
          <w:highlight w:val="none"/>
        </w:rPr>
      </w:pPr>
      <w:r>
        <w:rPr>
          <w:rFonts w:hint="eastAsia" w:ascii="宋体" w:hAnsi="宋体"/>
          <w:color w:val="auto"/>
          <w:sz w:val="36"/>
          <w:highlight w:val="none"/>
        </w:rPr>
      </w:r>
      <w:r/>
    </w:p>
    <w:p>
      <w:pPr>
        <w:rPr>
          <w:rFonts w:hint="eastAsia" w:ascii="宋体" w:hAnsi="宋体"/>
          <w:color w:val="auto"/>
          <w:sz w:val="36"/>
          <w:highlight w:val="none"/>
        </w:rPr>
      </w:pPr>
      <w:r>
        <w:rPr>
          <w:rFonts w:hint="eastAsia" w:ascii="宋体" w:hAnsi="宋体"/>
          <w:color w:val="auto"/>
          <w:sz w:val="36"/>
          <w:highlight w:val="none"/>
        </w:rPr>
        <w:br w:type="page" w:clear="all"/>
      </w:r>
      <w:r/>
    </w:p>
    <w:p>
      <w:pPr>
        <w:pStyle w:val="918"/>
        <w:jc w:val="center"/>
        <w:rPr>
          <w:color w:val="auto"/>
          <w:highlight w:val="none"/>
        </w:rPr>
      </w:pPr>
      <w:r>
        <w:rPr>
          <w:rFonts w:hint="eastAsia" w:ascii="宋体" w:hAnsi="宋体"/>
          <w:color w:val="auto"/>
          <w:sz w:val="36"/>
          <w:highlight w:val="none"/>
        </w:rPr>
        <w:t xml:space="preserve">第六章 投标文件格式</w:t>
      </w:r>
      <w:bookmarkEnd w:id="2"/>
      <w:r/>
      <w:bookmarkEnd w:id="3"/>
      <w:r/>
      <w:bookmarkEnd w:id="62"/>
      <w:r/>
      <w:r/>
    </w:p>
    <w:p>
      <w:pPr>
        <w:pStyle w:val="929"/>
        <w:rPr>
          <w:color w:val="auto"/>
          <w:highlight w:val="none"/>
        </w:rPr>
      </w:pPr>
      <w:r>
        <w:rPr>
          <w:color w:val="auto"/>
          <w:highlight w:val="none"/>
        </w:rPr>
      </w:r>
      <w:r/>
    </w:p>
    <w:p>
      <w:pPr>
        <w:pStyle w:val="929"/>
        <w:rPr>
          <w:rFonts w:hint="eastAsia"/>
          <w:color w:val="auto"/>
          <w:highlight w:val="none"/>
        </w:rPr>
      </w:pPr>
      <w:r>
        <w:rPr>
          <w:rFonts w:hint="eastAsia"/>
          <w:color w:val="auto"/>
          <w:highlight w:val="none"/>
        </w:rPr>
      </w:r>
      <w:r/>
    </w:p>
    <w:p>
      <w:pPr>
        <w:pStyle w:val="929"/>
        <w:rPr>
          <w:rFonts w:hint="eastAsia"/>
          <w:color w:val="auto"/>
          <w:highlight w:val="none"/>
        </w:rPr>
      </w:pPr>
      <w:r>
        <w:rPr>
          <w:rFonts w:hint="eastAsia"/>
          <w:color w:val="auto"/>
          <w:highlight w:val="none"/>
        </w:rPr>
      </w:r>
      <w:r/>
    </w:p>
    <w:p>
      <w:pPr>
        <w:jc w:val="center"/>
        <w:rPr>
          <w:rFonts w:hint="eastAsia" w:ascii="宋体" w:hAnsi="宋体"/>
          <w:b/>
          <w:color w:val="auto"/>
          <w:szCs w:val="21"/>
          <w:highlight w:val="none"/>
        </w:rPr>
      </w:pPr>
      <w:r>
        <w:rPr>
          <w:rFonts w:hint="eastAsia" w:ascii="宋体" w:hAnsi="宋体"/>
          <w:b/>
          <w:color w:val="auto"/>
          <w:szCs w:val="21"/>
          <w:highlight w:val="none"/>
        </w:rPr>
      </w:r>
      <w:r/>
    </w:p>
    <w:p>
      <w:pPr>
        <w:jc w:val="center"/>
        <w:rPr>
          <w:rFonts w:hint="eastAsia" w:ascii="宋体" w:hAnsi="宋体"/>
          <w:b/>
          <w:color w:val="auto"/>
          <w:sz w:val="22"/>
          <w:szCs w:val="21"/>
          <w:highlight w:val="none"/>
        </w:rPr>
      </w:pPr>
      <w:r>
        <w:rPr>
          <w:rFonts w:hint="eastAsia" w:ascii="宋体" w:hAnsi="宋体"/>
          <w:b/>
          <w:color w:val="auto"/>
          <w:sz w:val="22"/>
          <w:szCs w:val="21"/>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eastAsia="宋体"/>
          <w:b/>
          <w:color w:val="auto"/>
          <w:sz w:val="72"/>
          <w:highlight w:val="none"/>
          <w:lang w:eastAsia="zh-CN"/>
        </w:rPr>
      </w:pPr>
      <w:r>
        <w:rPr>
          <w:rFonts w:hint="eastAsia" w:ascii="宋体" w:hAnsi="宋体" w:eastAsia="宋体"/>
          <w:b/>
          <w:color w:val="auto"/>
          <w:sz w:val="72"/>
          <w:highlight w:val="none"/>
          <w:lang w:eastAsia="zh-CN"/>
        </w:rPr>
      </w:r>
      <w:r/>
    </w:p>
    <w:p>
      <w:pPr>
        <w:pStyle w:val="920"/>
        <w:rPr>
          <w:rFonts w:hint="eastAsia"/>
          <w:color w:val="auto"/>
          <w:highlight w:val="none"/>
          <w:lang w:eastAsia="zh-CN"/>
        </w:rPr>
      </w:pPr>
      <w:r>
        <w:rPr>
          <w:rFonts w:hint="eastAsia"/>
          <w:color w:val="auto"/>
          <w:highlight w:val="none"/>
          <w:lang w:eastAsia="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（加盖CA电子公章）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360" w:lineRule="auto"/>
        <w:rPr>
          <w:rFonts w:ascii="宋体" w:hAnsi="宋体"/>
          <w:b/>
          <w:bCs/>
          <w:color w:val="auto"/>
          <w:sz w:val="32"/>
          <w:szCs w:val="32"/>
          <w:highlight w:val="none"/>
        </w:rPr>
      </w:pPr>
      <w:r>
        <w:rPr>
          <w:rFonts w:hint="eastAsia" w:ascii="宋体" w:hAnsi="宋体"/>
          <w:color w:val="auto"/>
          <w:sz w:val="24"/>
          <w:highlight w:val="none"/>
        </w:rPr>
        <w:br w:type="page" w:clear="all"/>
      </w:r>
      <w:r>
        <w:rPr>
          <w:rFonts w:hint="eastAsia" w:ascii="宋体" w:hAnsi="宋体"/>
          <w:b/>
          <w:bCs/>
          <w:color w:val="auto"/>
          <w:sz w:val="32"/>
          <w:szCs w:val="32"/>
          <w:highlight w:val="none"/>
        </w:rPr>
        <w:t xml:space="preserve">投标文件目录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一、</w:t>
      </w:r>
      <w:r>
        <w:rPr>
          <w:rFonts w:hint="eastAsia" w:ascii="宋体" w:hAnsi="宋体" w:cs="宋体"/>
          <w:i/>
          <w:iCs/>
          <w:color w:val="auto"/>
          <w:sz w:val="24"/>
          <w:szCs w:val="24"/>
          <w:highlight w:val="none"/>
          <w:u w:val="single"/>
        </w:rPr>
        <w:t xml:space="preserve">法人或者其他组织的营业执照等证明文件，自然人的身份证明</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二、</w:t>
      </w:r>
      <w:r>
        <w:rPr>
          <w:rFonts w:hint="eastAsia" w:ascii="宋体" w:hAnsi="宋体" w:cs="宋体"/>
          <w:i/>
          <w:iCs/>
          <w:color w:val="auto"/>
          <w:sz w:val="24"/>
          <w:szCs w:val="24"/>
          <w:highlight w:val="none"/>
          <w:u w:val="single"/>
        </w:rPr>
        <w:t xml:space="preserve"> 依法缴纳税收和社会保障资金的相关材料</w:t>
      </w:r>
      <w:r>
        <w:rPr>
          <w:rFonts w:hint="eastAsia" w:ascii="宋体" w:hAnsi="宋体" w:cs="宋体"/>
          <w:b/>
          <w:bCs/>
          <w:i/>
          <w:iCs/>
          <w:color w:val="auto"/>
          <w:sz w:val="24"/>
          <w:szCs w:val="24"/>
          <w:highlight w:val="none"/>
          <w:u w:val="single"/>
        </w:rPr>
        <w:t xml:space="preserve">（提供提交投标文件截止时间前</w:t>
      </w:r>
      <w:r>
        <w:rPr>
          <w:rFonts w:hint="eastAsia" w:ascii="宋体" w:hAnsi="宋体" w:cs="宋体"/>
          <w:b/>
          <w:bCs/>
          <w:i/>
          <w:iCs/>
          <w:color w:val="auto"/>
          <w:sz w:val="24"/>
          <w:szCs w:val="24"/>
          <w:highlight w:val="none"/>
          <w:u w:val="single"/>
          <w:lang w:val="en-US" w:eastAsia="zh-CN"/>
        </w:rPr>
        <w:t xml:space="preserve">三个月</w:t>
      </w:r>
      <w:r>
        <w:rPr>
          <w:rFonts w:hint="eastAsia" w:ascii="宋体" w:hAnsi="宋体" w:cs="宋体"/>
          <w:b/>
          <w:bCs/>
          <w:i/>
          <w:iCs/>
          <w:color w:val="auto"/>
          <w:sz w:val="24"/>
          <w:szCs w:val="24"/>
          <w:highlight w:val="none"/>
          <w:u w:val="single"/>
        </w:rPr>
        <w:t xml:space="preserve">内任意一个月依法缴纳税收及缴纳社会保障资金的证明材料。投标人依法享受缓缴、免缴税收、社会保障资金的提供证明材料。）</w:t>
      </w:r>
      <w:r/>
    </w:p>
    <w:p>
      <w:pPr>
        <w:ind w:firstLine="480"/>
        <w:spacing w:line="360" w:lineRule="auto"/>
        <w:rPr>
          <w:rFonts w:hint="eastAsia" w:ascii="宋体" w:hAnsi="宋体" w:cs="宋体"/>
          <w:b/>
          <w:bCs/>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三、</w:t>
      </w:r>
      <w:r>
        <w:rPr>
          <w:rFonts w:hint="eastAsia" w:ascii="宋体" w:hAnsi="宋体" w:cs="宋体"/>
          <w:i/>
          <w:iCs/>
          <w:color w:val="auto"/>
          <w:sz w:val="24"/>
          <w:szCs w:val="24"/>
          <w:highlight w:val="none"/>
          <w:u w:val="single"/>
        </w:rPr>
        <w:t xml:space="preserve"> 上一年度的财务报告情况</w:t>
      </w:r>
      <w:r>
        <w:rPr>
          <w:rFonts w:hint="eastAsia" w:ascii="宋体" w:hAnsi="宋体" w:cs="宋体"/>
          <w:b/>
          <w:bCs/>
          <w:i/>
          <w:iCs/>
          <w:color w:val="auto"/>
          <w:sz w:val="24"/>
          <w:szCs w:val="24"/>
          <w:highlight w:val="none"/>
          <w:u w:val="single"/>
        </w:rPr>
        <w:t xml:space="preserve">（成立不满一年不需提供）</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四、</w:t>
      </w:r>
      <w:r>
        <w:rPr>
          <w:rFonts w:hint="eastAsia" w:ascii="宋体" w:hAnsi="宋体" w:cs="宋体"/>
          <w:i/>
          <w:iCs/>
          <w:color w:val="auto"/>
          <w:sz w:val="24"/>
          <w:szCs w:val="24"/>
          <w:highlight w:val="none"/>
          <w:u w:val="single"/>
        </w:rPr>
        <w:t xml:space="preserve"> 具备履行合同所必需的设备和专业技术能力的书面声明</w:t>
      </w:r>
      <w:r/>
    </w:p>
    <w:p>
      <w:pPr>
        <w:ind w:firstLine="480"/>
        <w:spacing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lang w:val="en-US" w:eastAsia="zh-CN"/>
        </w:rPr>
        <w:t xml:space="preserve">五、</w:t>
      </w:r>
      <w:r>
        <w:rPr>
          <w:rFonts w:hint="eastAsia" w:ascii="宋体" w:hAnsi="宋体" w:cs="宋体"/>
          <w:i/>
          <w:iCs/>
          <w:color w:val="auto"/>
          <w:sz w:val="24"/>
          <w:szCs w:val="24"/>
          <w:highlight w:val="none"/>
          <w:u w:val="single"/>
        </w:rPr>
        <w:t xml:space="preserve"> 参加本次政府采购活动前3年内在经营活动中没有重大违法记录的书面声明</w:t>
      </w:r>
      <w:r/>
    </w:p>
    <w:p>
      <w:pPr>
        <w:ind w:left="0" w:firstLine="480"/>
        <w:keepLines w:val="0"/>
        <w:keepNext w:val="0"/>
        <w:pageBreakBefore w:val="0"/>
        <w:spacing w:line="360" w:lineRule="auto"/>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六、未被“信用中国”网站（www.creditchina.gov.cn）、“中国政府采购网"(www.ccgp.gov.cn)列入失信被执行人、重大税收违法案件当事人名单、政府采购严重违法失信行为记录名单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 w:val="24"/>
          <w:szCs w:val="24"/>
          <w:highlight w:val="none"/>
          <w:u w:val="single"/>
          <w:lang w:val="en-US" w:eastAsia="zh-CN"/>
        </w:rPr>
        <w:t xml:space="preserve">（提供网页截图）</w:t>
      </w:r>
      <w:r/>
    </w:p>
    <w:p>
      <w:pPr>
        <w:ind w:left="480"/>
        <w:keepLines w:val="0"/>
        <w:keepNext w:val="0"/>
        <w:pageBreakBefore w:val="0"/>
        <w:spacing w:line="360" w:lineRule="auto"/>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供应商信用承诺函</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八</w:t>
      </w:r>
      <w:r>
        <w:rPr>
          <w:rFonts w:hint="eastAsia" w:ascii="宋体" w:hAnsi="宋体"/>
          <w:i/>
          <w:color w:val="000000"/>
          <w:sz w:val="24"/>
          <w:szCs w:val="24"/>
          <w:highlight w:val="none"/>
          <w:u w:val="single"/>
        </w:rPr>
        <w:t xml:space="preserve">、特定资格要求的证明文件（如果本项目设置特定资格要求，则需要提供）</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九</w:t>
      </w:r>
      <w:r>
        <w:rPr>
          <w:rFonts w:hint="eastAsia" w:ascii="宋体" w:hAnsi="宋体"/>
          <w:i/>
          <w:color w:val="000000"/>
          <w:sz w:val="24"/>
          <w:szCs w:val="24"/>
          <w:highlight w:val="none"/>
          <w:u w:val="single"/>
        </w:rPr>
        <w:t xml:space="preserve">、法人授权书</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lang w:val="en-US" w:eastAsia="zh-CN"/>
        </w:rPr>
        <w:t xml:space="preserve">十</w:t>
      </w:r>
      <w:r>
        <w:rPr>
          <w:rFonts w:hint="eastAsia" w:ascii="宋体" w:hAnsi="宋体"/>
          <w:i/>
          <w:color w:val="000000"/>
          <w:sz w:val="24"/>
          <w:szCs w:val="24"/>
          <w:highlight w:val="none"/>
          <w:u w:val="single"/>
        </w:rPr>
        <w:t xml:space="preserve">、投标函</w:t>
      </w:r>
      <w:r/>
    </w:p>
    <w:p>
      <w:pPr>
        <w:ind w:firstLine="480"/>
        <w:keepLines w:val="0"/>
        <w:keepNext w:val="0"/>
        <w:pageBreakBefore w:val="0"/>
        <w:spacing w:line="360" w:lineRule="auto"/>
        <w:widowControl w:val="off"/>
        <w:rPr>
          <w:rFonts w:ascii="宋体" w:hAnsi="宋体"/>
          <w:color w:val="000000"/>
          <w:sz w:val="24"/>
          <w:szCs w:val="24"/>
          <w:highlight w:val="none"/>
          <w:u w:val="none"/>
        </w:rPr>
      </w:pPr>
      <w:r>
        <w:rPr>
          <w:rFonts w:hint="eastAsia" w:ascii="宋体" w:hAnsi="宋体"/>
          <w:color w:val="000000"/>
          <w:sz w:val="24"/>
          <w:szCs w:val="24"/>
          <w:highlight w:val="none"/>
          <w:u w:val="none"/>
        </w:rPr>
        <w:t xml:space="preserve">十</w:t>
      </w:r>
      <w:r>
        <w:rPr>
          <w:rFonts w:hint="eastAsia" w:ascii="宋体" w:hAnsi="宋体"/>
          <w:color w:val="000000"/>
          <w:sz w:val="24"/>
          <w:szCs w:val="24"/>
          <w:highlight w:val="none"/>
          <w:u w:val="none"/>
          <w:lang w:val="en-US" w:eastAsia="zh-CN"/>
        </w:rPr>
        <w:t xml:space="preserve">一</w:t>
      </w:r>
      <w:r>
        <w:rPr>
          <w:rFonts w:hint="eastAsia" w:ascii="宋体" w:hAnsi="宋体"/>
          <w:color w:val="000000"/>
          <w:sz w:val="24"/>
          <w:szCs w:val="24"/>
          <w:highlight w:val="none"/>
          <w:u w:val="none"/>
        </w:rPr>
        <w:t xml:space="preserve">、企业报价折扣证明（</w:t>
      </w:r>
      <w:r>
        <w:rPr>
          <w:rFonts w:hint="eastAsia" w:ascii="宋体" w:hAnsi="宋体"/>
          <w:i/>
          <w:iCs/>
          <w:color w:val="000000"/>
          <w:sz w:val="24"/>
          <w:szCs w:val="24"/>
          <w:highlight w:val="none"/>
          <w:u w:val="single"/>
        </w:rPr>
        <w:t xml:space="preserve">中小企业声明函</w:t>
      </w:r>
      <w:r>
        <w:rPr>
          <w:rFonts w:hint="eastAsia" w:ascii="宋体" w:hAnsi="宋体"/>
          <w:i w:val="0"/>
          <w:iCs w:val="0"/>
          <w:color w:val="000000"/>
          <w:sz w:val="24"/>
          <w:szCs w:val="24"/>
          <w:highlight w:val="none"/>
          <w:u w:val="none"/>
        </w:rPr>
        <w:t xml:space="preserve">、</w:t>
      </w:r>
      <w:r>
        <w:rPr>
          <w:rFonts w:hint="eastAsia" w:ascii="宋体" w:hAnsi="宋体"/>
          <w:color w:val="000000"/>
          <w:sz w:val="24"/>
          <w:szCs w:val="24"/>
          <w:highlight w:val="none"/>
          <w:u w:val="none"/>
        </w:rPr>
        <w:t xml:space="preserve">残疾人福利性单位声明函）</w:t>
      </w:r>
      <w:r/>
    </w:p>
    <w:p>
      <w:pPr>
        <w:ind w:firstLine="480"/>
        <w:keepLines w:val="0"/>
        <w:keepNext w:val="0"/>
        <w:pageBreakBefore w:val="0"/>
        <w:spacing w:line="360" w:lineRule="auto"/>
        <w:widowControl w:val="off"/>
        <w:rPr>
          <w:rFonts w:hint="eastAsia" w:ascii="宋体" w:hAnsi="宋体" w:eastAsia="宋体"/>
          <w:sz w:val="24"/>
          <w:szCs w:val="24"/>
          <w:highlight w:val="none"/>
          <w:u w:val="none"/>
          <w:lang w:eastAsia="zh-CN"/>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二</w:t>
      </w:r>
      <w:r>
        <w:rPr>
          <w:rFonts w:hint="eastAsia" w:ascii="宋体" w:hAnsi="宋体"/>
          <w:sz w:val="24"/>
          <w:szCs w:val="24"/>
          <w:highlight w:val="none"/>
          <w:u w:val="none"/>
        </w:rPr>
        <w:t xml:space="preserve">、联合体协议</w:t>
      </w: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如有</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i w:val="0"/>
          <w:iCs/>
          <w:sz w:val="24"/>
          <w:szCs w:val="24"/>
          <w:highlight w:val="none"/>
          <w:u w:val="none"/>
        </w:rPr>
      </w:pPr>
      <w:r>
        <w:rPr>
          <w:rFonts w:hint="eastAsia" w:ascii="宋体" w:hAnsi="宋体"/>
          <w:i w:val="0"/>
          <w:iCs/>
          <w:sz w:val="24"/>
          <w:szCs w:val="24"/>
          <w:highlight w:val="none"/>
          <w:u w:val="none"/>
          <w:lang w:val="en-US" w:eastAsia="zh-CN"/>
        </w:rPr>
        <w:t xml:space="preserve">十三、</w:t>
      </w:r>
      <w:r>
        <w:rPr>
          <w:rFonts w:hint="eastAsia" w:ascii="宋体" w:hAnsi="宋体"/>
          <w:i w:val="0"/>
          <w:iCs/>
          <w:sz w:val="24"/>
          <w:szCs w:val="24"/>
          <w:highlight w:val="none"/>
          <w:u w:val="none"/>
        </w:rPr>
        <w:t xml:space="preserve">符合性审查响应对照表</w:t>
      </w:r>
      <w:r/>
    </w:p>
    <w:p>
      <w:pPr>
        <w:ind w:firstLine="480"/>
        <w:keepLines w:val="0"/>
        <w:keepNext w:val="0"/>
        <w:pageBreakBefore w:val="0"/>
        <w:spacing w:line="360" w:lineRule="auto"/>
        <w:widowControl w:val="off"/>
        <w:rPr>
          <w:rFonts w:ascii="宋体" w:hAnsi="宋体"/>
          <w:color w:val="0000ff"/>
          <w:sz w:val="24"/>
          <w:szCs w:val="24"/>
          <w:highlight w:val="none"/>
          <w:u w:val="none"/>
        </w:rPr>
      </w:pPr>
      <w:r>
        <w:rPr>
          <w:rFonts w:hint="eastAsia" w:ascii="宋体" w:hAnsi="宋体"/>
          <w:i w:val="0"/>
          <w:iCs/>
          <w:sz w:val="24"/>
          <w:szCs w:val="24"/>
          <w:highlight w:val="none"/>
          <w:u w:val="none"/>
          <w:lang w:val="en-US" w:eastAsia="zh-CN"/>
        </w:rPr>
        <w:t xml:space="preserve">十四、</w:t>
      </w:r>
      <w:r>
        <w:rPr>
          <w:rFonts w:hint="eastAsia" w:ascii="宋体" w:hAnsi="宋体"/>
          <w:i w:val="0"/>
          <w:iCs/>
          <w:sz w:val="24"/>
          <w:szCs w:val="24"/>
          <w:highlight w:val="none"/>
          <w:u w:val="none"/>
        </w:rPr>
        <w:t xml:space="preserve">投标分项报价表 </w:t>
      </w:r>
      <w:r>
        <w:rPr>
          <w:rFonts w:hint="eastAsia" w:ascii="宋体" w:hAnsi="宋体"/>
          <w:sz w:val="24"/>
          <w:szCs w:val="24"/>
          <w:highlight w:val="none"/>
          <w:u w:val="none"/>
        </w:rPr>
        <w:t xml:space="preserve">  </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五</w:t>
      </w:r>
      <w:r>
        <w:rPr>
          <w:rFonts w:hint="eastAsia" w:ascii="宋体" w:hAnsi="宋体"/>
          <w:sz w:val="24"/>
          <w:szCs w:val="24"/>
          <w:highlight w:val="none"/>
          <w:u w:val="none"/>
        </w:rPr>
        <w:t xml:space="preserve">、技术要求响应及偏离表</w:t>
      </w:r>
      <w:r/>
    </w:p>
    <w:p>
      <w:pPr>
        <w:ind w:firstLine="480"/>
        <w:keepLines w:val="0"/>
        <w:keepNext w:val="0"/>
        <w:pageBreakBefore w:val="0"/>
        <w:spacing w:line="360" w:lineRule="auto"/>
        <w:widowControl w:val="off"/>
        <w:rPr>
          <w:rFonts w:ascii="宋体" w:hAnsi="宋体"/>
          <w:sz w:val="24"/>
          <w:szCs w:val="24"/>
          <w:highlight w:val="none"/>
          <w:u w:val="none"/>
        </w:rPr>
      </w:pPr>
      <w:r>
        <w:rPr>
          <w:rFonts w:hint="eastAsia" w:ascii="宋体" w:hAnsi="宋体"/>
          <w:sz w:val="24"/>
          <w:szCs w:val="24"/>
          <w:highlight w:val="none"/>
          <w:u w:val="none"/>
        </w:rPr>
        <w:t xml:space="preserve">十</w:t>
      </w:r>
      <w:r>
        <w:rPr>
          <w:rFonts w:hint="eastAsia" w:ascii="宋体" w:hAnsi="宋体"/>
          <w:sz w:val="24"/>
          <w:szCs w:val="24"/>
          <w:highlight w:val="none"/>
          <w:u w:val="none"/>
          <w:lang w:val="en-US" w:eastAsia="zh-CN"/>
        </w:rPr>
        <w:t xml:space="preserve">六</w:t>
      </w:r>
      <w:r>
        <w:rPr>
          <w:rFonts w:hint="eastAsia" w:ascii="宋体" w:hAnsi="宋体"/>
          <w:sz w:val="24"/>
          <w:szCs w:val="24"/>
          <w:highlight w:val="none"/>
          <w:u w:val="none"/>
        </w:rPr>
        <w:t xml:space="preserve">、商务要求响应及偏离表</w:t>
      </w:r>
      <w:r/>
    </w:p>
    <w:p>
      <w:pPr>
        <w:ind w:firstLine="480"/>
        <w:keepLines w:val="0"/>
        <w:keepNext w:val="0"/>
        <w:pageBreakBefore w:val="0"/>
        <w:spacing w:line="360" w:lineRule="auto"/>
        <w:widowControl w:val="off"/>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十</w:t>
      </w:r>
      <w:r>
        <w:rPr>
          <w:rFonts w:hint="eastAsia" w:ascii="宋体" w:hAnsi="宋体"/>
          <w:i/>
          <w:color w:val="000000"/>
          <w:sz w:val="24"/>
          <w:szCs w:val="24"/>
          <w:highlight w:val="none"/>
          <w:u w:val="single"/>
          <w:lang w:val="en-US" w:eastAsia="zh-CN"/>
        </w:rPr>
        <w:t xml:space="preserve">七</w:t>
      </w:r>
      <w:r>
        <w:rPr>
          <w:rFonts w:hint="eastAsia" w:ascii="宋体" w:hAnsi="宋体"/>
          <w:i/>
          <w:color w:val="000000"/>
          <w:sz w:val="24"/>
          <w:szCs w:val="24"/>
          <w:highlight w:val="none"/>
          <w:u w:val="single"/>
        </w:rPr>
        <w:t xml:space="preserve">、开标一览表</w:t>
      </w:r>
      <w:r/>
    </w:p>
    <w:p>
      <w:pPr>
        <w:ind w:firstLine="480"/>
        <w:keepLines w:val="0"/>
        <w:keepNext w:val="0"/>
        <w:pageBreakBefore w:val="0"/>
        <w:spacing w:line="360" w:lineRule="auto"/>
        <w:widowControl w:val="off"/>
        <w:rPr>
          <w:rFonts w:hint="eastAsia" w:ascii="宋体" w:hAnsi="宋体"/>
          <w:iCs/>
          <w:color w:val="000000"/>
          <w:sz w:val="24"/>
          <w:szCs w:val="24"/>
          <w:highlight w:val="none"/>
          <w:u w:val="none"/>
        </w:rPr>
      </w:pPr>
      <w:r>
        <w:rPr>
          <w:rFonts w:hint="eastAsia" w:ascii="宋体" w:hAnsi="宋体"/>
          <w:iCs/>
          <w:color w:val="000000"/>
          <w:sz w:val="24"/>
          <w:szCs w:val="24"/>
          <w:highlight w:val="none"/>
          <w:u w:val="none"/>
        </w:rPr>
        <w:t xml:space="preserve">十</w:t>
      </w:r>
      <w:r>
        <w:rPr>
          <w:rFonts w:hint="eastAsia" w:ascii="宋体" w:hAnsi="宋体"/>
          <w:iCs/>
          <w:color w:val="000000"/>
          <w:sz w:val="24"/>
          <w:szCs w:val="24"/>
          <w:highlight w:val="none"/>
          <w:u w:val="none"/>
          <w:lang w:val="en-US" w:eastAsia="zh-CN"/>
        </w:rPr>
        <w:t xml:space="preserve">八</w:t>
      </w:r>
      <w:r>
        <w:rPr>
          <w:rFonts w:hint="eastAsia" w:ascii="宋体" w:hAnsi="宋体"/>
          <w:iCs/>
          <w:color w:val="000000"/>
          <w:sz w:val="24"/>
          <w:szCs w:val="24"/>
          <w:highlight w:val="none"/>
          <w:u w:val="none"/>
        </w:rPr>
        <w:t xml:space="preserve">、主要标的信息</w:t>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numPr>
          <w:ilvl w:val="0"/>
          <w:numId w:val="0"/>
        </w:numPr>
        <w:jc w:val="left"/>
        <w:keepLines/>
        <w:keepNext/>
        <w:pageBreakBefore w:val="0"/>
        <w:spacing w:after="480" w:line="360" w:lineRule="auto"/>
        <w:widowControl w:val="off"/>
        <w:rPr>
          <w:rFonts w:hint="eastAsia" w:ascii="宋体" w:hAnsi="宋体" w:cs="宋体"/>
          <w:b/>
          <w:bCs/>
          <w:i/>
          <w:sz w:val="24"/>
          <w:szCs w:val="24"/>
          <w:highlight w:val="none"/>
          <w:u w:val="single"/>
        </w:rPr>
        <w:outlineLvl w:val="1"/>
      </w:pPr>
      <w:r>
        <w:rPr>
          <w:rFonts w:hint="eastAsia" w:ascii="宋体" w:hAnsi="宋体"/>
          <w:b/>
          <w:bCs/>
          <w:i/>
          <w:iCs/>
          <w:color w:val="auto"/>
          <w:sz w:val="24"/>
          <w:szCs w:val="28"/>
          <w:highlight w:val="none"/>
          <w:u w:val="single"/>
          <w:lang w:val="en-US" w:eastAsia="zh-CN"/>
        </w:rPr>
        <w:t xml:space="preserve">一、</w:t>
      </w:r>
      <w:r>
        <w:rPr>
          <w:rFonts w:hint="eastAsia" w:ascii="宋体" w:hAnsi="宋体" w:cs="宋体"/>
          <w:b/>
          <w:bCs/>
          <w:i/>
          <w:iCs/>
          <w:sz w:val="24"/>
          <w:szCs w:val="24"/>
          <w:highlight w:val="none"/>
          <w:u w:val="single"/>
        </w:rPr>
        <w:t xml:space="preserve">法人</w:t>
      </w:r>
      <w:r>
        <w:rPr>
          <w:rFonts w:hint="eastAsia" w:ascii="宋体" w:hAnsi="宋体" w:cs="宋体"/>
          <w:b/>
          <w:bCs/>
          <w:i/>
          <w:sz w:val="24"/>
          <w:szCs w:val="24"/>
          <w:highlight w:val="none"/>
          <w:u w:val="single"/>
        </w:rPr>
        <w:t xml:space="preserve">或者其他组织的营业执照等证明文件，自然人的身份证明</w:t>
      </w:r>
      <w:r/>
    </w:p>
    <w:p>
      <w:pPr>
        <w:pStyle w:val="918"/>
        <w:keepLines/>
        <w:keepNext/>
        <w:pageBreakBefore w:val="0"/>
        <w:spacing w:before="0" w:after="0" w:line="360" w:lineRule="auto"/>
        <w:widowControl w:val="off"/>
        <w:rPr>
          <w:sz w:val="32"/>
          <w:szCs w:val="32"/>
          <w:highlight w:val="none"/>
        </w:rPr>
      </w:pPr>
      <w:r>
        <w:rPr>
          <w:sz w:val="32"/>
          <w:szCs w:val="32"/>
          <w:highlight w:val="none"/>
        </w:rPr>
      </w:r>
      <w:r/>
    </w:p>
    <w:p>
      <w:pPr>
        <w:jc w:val="left"/>
        <w:keepLines/>
        <w:keepNext/>
        <w:spacing w:before="260" w:line="415" w:lineRule="auto"/>
        <w:rPr>
          <w:rFonts w:hint="eastAsia" w:ascii="宋体" w:hAnsi="宋体" w:cs="宋体"/>
          <w:b/>
          <w:bCs/>
          <w:i/>
          <w:sz w:val="24"/>
          <w:szCs w:val="24"/>
          <w:highlight w:val="none"/>
          <w:u w:val="single"/>
        </w:rPr>
        <w:outlineLvl w:val="1"/>
      </w:pPr>
      <w:r/>
      <w:bookmarkStart w:id="63" w:name="OLE_LINK1"/>
      <w:r/>
      <w:bookmarkStart w:id="64" w:name="OLE_LINK2"/>
      <w:r>
        <w:rPr>
          <w:rFonts w:hint="eastAsia" w:ascii="宋体" w:hAnsi="宋体" w:cs="宋体"/>
          <w:b/>
          <w:bCs/>
          <w:i/>
          <w:sz w:val="24"/>
          <w:szCs w:val="24"/>
          <w:highlight w:val="none"/>
          <w:u w:val="single"/>
        </w:rPr>
        <w:t xml:space="preserve">二、依法缴纳税收和社会保障资金的相关材料</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4"/>
          <w:highlight w:val="none"/>
        </w:rPr>
        <w:t xml:space="preserve">提供提交投标文件截止时间前</w:t>
      </w:r>
      <w:r>
        <w:rPr>
          <w:rFonts w:hint="eastAsia" w:ascii="宋体" w:hAnsi="宋体"/>
          <w:bCs/>
          <w:sz w:val="24"/>
          <w:szCs w:val="24"/>
          <w:highlight w:val="none"/>
          <w:lang w:val="en-US" w:eastAsia="zh-CN"/>
        </w:rPr>
        <w:t xml:space="preserve">三个月</w:t>
      </w:r>
      <w:r>
        <w:rPr>
          <w:rFonts w:hint="eastAsia" w:ascii="宋体" w:hAnsi="宋体"/>
          <w:bCs/>
          <w:sz w:val="24"/>
          <w:szCs w:val="24"/>
          <w:highlight w:val="none"/>
        </w:rPr>
        <w:t xml:space="preserve">内</w:t>
      </w:r>
      <w:r>
        <w:rPr>
          <w:rFonts w:hint="eastAsia" w:ascii="宋体" w:hAnsi="宋体"/>
          <w:bCs/>
          <w:sz w:val="24"/>
          <w:szCs w:val="24"/>
          <w:highlight w:val="none"/>
          <w:lang w:val="en-US" w:eastAsia="zh-CN"/>
        </w:rPr>
        <w:t xml:space="preserve">任意</w:t>
      </w:r>
      <w:r>
        <w:rPr>
          <w:rFonts w:hint="eastAsia" w:ascii="宋体" w:hAnsi="宋体"/>
          <w:bCs/>
          <w:sz w:val="24"/>
          <w:szCs w:val="24"/>
          <w:highlight w:val="none"/>
        </w:rPr>
        <w:t xml:space="preserve">一个月依法缴纳税收及缴纳社会保障资金的证明材料。投标人依法享受缓缴、免缴税收、社会保障资金的提供证明材料。</w:t>
      </w:r>
      <w:bookmarkEnd w:id="63"/>
      <w:r/>
      <w:bookmarkEnd w:id="64"/>
      <w:r/>
      <w:bookmarkStart w:id="65" w:name="OLE_LINK3"/>
      <w:r/>
      <w:bookmarkStart w:id="66" w:name="OLE_LINK4"/>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三、上一年度的财务状况报告</w:t>
      </w:r>
      <w:r/>
    </w:p>
    <w:p>
      <w:pPr>
        <w:ind w:firstLine="480"/>
        <w:keepLines w:val="0"/>
        <w:keepNext w:val="0"/>
        <w:pageBreakBefore w:val="0"/>
        <w:spacing w:after="480" w:line="360" w:lineRule="auto"/>
        <w:widowControl w:val="off"/>
        <w:rPr>
          <w:rFonts w:hint="eastAsia" w:ascii="宋体" w:hAnsi="宋体" w:cs="宋体"/>
          <w:b/>
          <w:bCs/>
          <w:i/>
          <w:sz w:val="24"/>
          <w:szCs w:val="24"/>
          <w:highlight w:val="none"/>
          <w:u w:val="single"/>
        </w:rPr>
      </w:pPr>
      <w:r>
        <w:rPr>
          <w:rFonts w:hint="eastAsia" w:ascii="宋体" w:hAnsi="宋体"/>
          <w:bCs/>
          <w:sz w:val="24"/>
          <w:szCs w:val="22"/>
          <w:highlight w:val="none"/>
        </w:rPr>
        <w:t xml:space="preserve">投标人成立不满一年不需提供</w:t>
      </w:r>
      <w:bookmarkEnd w:id="65"/>
      <w:r/>
      <w:bookmarkEnd w:id="66"/>
      <w:r/>
      <w:bookmarkStart w:id="67" w:name="OLE_LINK6"/>
      <w:r/>
      <w:bookmarkStart w:id="68" w:name="OLE_LINK5"/>
      <w:r/>
      <w:r/>
    </w:p>
    <w:p>
      <w:pPr>
        <w:jc w:val="left"/>
        <w:keepLines/>
        <w:keepNext/>
        <w:spacing w:before="260" w:line="415" w:lineRule="auto"/>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四、具备履行合同所必需的设备和专业技术能力的书面声明</w:t>
      </w:r>
      <w:r/>
    </w:p>
    <w:p>
      <w:pPr>
        <w:ind w:firstLine="493"/>
        <w:jc w:val="center"/>
        <w:keepLines w:val="0"/>
        <w:keepNext w:val="0"/>
        <w:pageBreakBefore w:val="0"/>
        <w:spacing w:before="161"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主要设备有：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p>
    <w:p>
      <w:pPr>
        <w:ind w:firstLine="493"/>
        <w:keepLines w:val="0"/>
        <w:keepNext w:val="0"/>
        <w:pageBreakBefore w:val="0"/>
        <w:spacing w:line="360" w:lineRule="auto"/>
        <w:widowControl w:val="off"/>
        <w:rPr>
          <w:rFonts w:ascii="宋体" w:hAnsi="宋体" w:cs="宋体"/>
          <w:bCs/>
          <w:sz w:val="24"/>
          <w:szCs w:val="24"/>
          <w:highlight w:val="none"/>
        </w:rPr>
      </w:pPr>
      <w:r>
        <w:rPr>
          <w:rFonts w:hint="eastAsia" w:ascii="宋体" w:hAnsi="宋体" w:cs="宋体"/>
          <w:bCs/>
          <w:sz w:val="24"/>
          <w:szCs w:val="24"/>
          <w:highlight w:val="none"/>
        </w:rPr>
        <w:t xml:space="preserve">主要专业技术能力有：</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bookmarkEnd w:id="67"/>
      <w:r/>
      <w:bookmarkEnd w:id="68"/>
      <w:r/>
      <w:r/>
    </w:p>
    <w:p>
      <w:pPr>
        <w:jc w:val="left"/>
        <w:keepLines/>
        <w:keepNext/>
        <w:pageBreakBefore w:val="0"/>
        <w:spacing w:line="416" w:lineRule="auto"/>
        <w:widowControl w:val="off"/>
        <w:rPr>
          <w:rFonts w:hint="eastAsia" w:ascii="宋体" w:hAnsi="宋体" w:cs="宋体"/>
          <w:b/>
          <w:bCs/>
          <w:i/>
          <w:sz w:val="24"/>
          <w:szCs w:val="24"/>
          <w:highlight w:val="none"/>
          <w:u w:val="single"/>
        </w:rPr>
        <w:outlineLvl w:val="1"/>
      </w:pPr>
      <w:r>
        <w:rPr>
          <w:rFonts w:hint="eastAsia" w:ascii="宋体" w:hAnsi="宋体" w:cs="宋体"/>
          <w:b/>
          <w:bCs/>
          <w:i/>
          <w:sz w:val="24"/>
          <w:szCs w:val="24"/>
          <w:highlight w:val="none"/>
          <w:u w:val="single"/>
        </w:rPr>
      </w:r>
      <w:r/>
    </w:p>
    <w:p>
      <w:pPr>
        <w:jc w:val="left"/>
        <w:keepLines/>
        <w:keepNext/>
        <w:pageBreakBefore w:val="0"/>
        <w:spacing w:line="416" w:lineRule="auto"/>
        <w:widowControl w:val="off"/>
        <w:rPr>
          <w:rFonts w:ascii="宋体" w:hAnsi="宋体" w:cs="宋体"/>
          <w:b/>
          <w:bCs/>
          <w:i/>
          <w:sz w:val="24"/>
          <w:szCs w:val="24"/>
          <w:highlight w:val="none"/>
          <w:u w:val="single"/>
        </w:rPr>
        <w:outlineLvl w:val="1"/>
      </w:pPr>
      <w:r>
        <w:rPr>
          <w:rFonts w:hint="eastAsia" w:ascii="宋体" w:hAnsi="宋体" w:cs="宋体"/>
          <w:b/>
          <w:bCs/>
          <w:i/>
          <w:sz w:val="24"/>
          <w:szCs w:val="24"/>
          <w:highlight w:val="none"/>
          <w:u w:val="single"/>
        </w:rPr>
        <w:t xml:space="preserve">五、参加政府采购活动前 3 年内在经营活动中没有重大违法记录的书面声明</w:t>
      </w:r>
      <w:r/>
    </w:p>
    <w:p>
      <w:pPr>
        <w:jc w:val="center"/>
        <w:spacing w:line="460" w:lineRule="exact"/>
        <w:rPr>
          <w:rFonts w:ascii="宋体" w:hAnsi="宋体" w:cs="宋体"/>
          <w:b/>
          <w:bCs/>
          <w:sz w:val="24"/>
          <w:szCs w:val="24"/>
          <w:highlight w:val="none"/>
        </w:rPr>
      </w:pPr>
      <w:r>
        <w:rPr>
          <w:rFonts w:hint="eastAsia" w:ascii="宋体" w:hAnsi="宋体" w:cs="宋体"/>
          <w:b/>
          <w:bCs/>
          <w:sz w:val="24"/>
          <w:szCs w:val="24"/>
          <w:highlight w:val="none"/>
        </w:rPr>
        <w:t xml:space="preserve">声  明</w:t>
      </w:r>
      <w:r/>
    </w:p>
    <w:p>
      <w:pPr>
        <w:ind w:firstLine="481"/>
        <w:jc w:val="left"/>
        <w:spacing w:before="156" w:after="156"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六、</w:t>
      </w:r>
      <w:r>
        <w:rPr>
          <w:rFonts w:hint="eastAsia" w:ascii="宋体" w:hAnsi="宋体" w:eastAsia="宋体" w:cs="宋体"/>
          <w:b/>
          <w:bCs/>
          <w:i/>
          <w:sz w:val="24"/>
          <w:szCs w:val="24"/>
          <w:highlight w:val="none"/>
          <w:u w:val="single"/>
        </w:rPr>
        <w:t xml:space="preserve">未被“信用中国”网站（www.creditchina.gov.cn）、“中国政府采购网"(www.ccgp.gov.cn)列入失信被执行人、重大税收违法案件当事人名单、政府采购严重违法失信行为记录名单</w:t>
      </w:r>
      <w:r/>
    </w:p>
    <w:p>
      <w:pPr>
        <w:numPr>
          <w:ilvl w:val="0"/>
          <w:numId w:val="0"/>
        </w:numPr>
        <w:ind w:firstLine="480"/>
        <w:jc w:val="left"/>
        <w:keepLines/>
        <w:keepNext/>
        <w:pageBreakBefore w:val="0"/>
        <w:spacing w:line="416" w:lineRule="auto"/>
        <w:widowControl w:val="off"/>
        <w:rPr>
          <w:rFonts w:ascii="宋体" w:hAnsi="宋体" w:cs="宋体"/>
          <w:i/>
          <w:sz w:val="28"/>
          <w:szCs w:val="28"/>
          <w:highlight w:val="none"/>
          <w:u w:val="single"/>
        </w:rPr>
        <w:outlineLvl w:val="1"/>
      </w:pPr>
      <w:r>
        <w:rPr>
          <w:rFonts w:hint="eastAsia" w:ascii="宋体" w:hAnsi="宋体" w:eastAsia="宋体" w:cs="宋体"/>
          <w:bCs/>
          <w:sz w:val="24"/>
          <w:szCs w:val="24"/>
          <w:highlight w:val="none"/>
        </w:rPr>
        <w:t xml:space="preserve">提供网页截图</w:t>
      </w:r>
      <w:r>
        <w:rPr>
          <w:rFonts w:hint="eastAsia" w:ascii="宋体" w:hAnsi="宋体" w:eastAsia="宋体" w:cs="宋体"/>
          <w:b/>
          <w:bCs/>
          <w:i/>
          <w:sz w:val="24"/>
          <w:szCs w:val="24"/>
          <w:highlight w:val="none"/>
          <w:u w:val="single"/>
        </w:rPr>
        <w:br w:type="page" w:clear="all"/>
      </w:r>
      <w:r>
        <w:rPr>
          <w:rFonts w:hint="eastAsia" w:ascii="宋体" w:hAnsi="宋体" w:eastAsia="宋体" w:cs="宋体"/>
          <w:b/>
          <w:bCs/>
          <w:i/>
          <w:sz w:val="24"/>
          <w:szCs w:val="24"/>
          <w:highlight w:val="none"/>
          <w:u w:val="single"/>
          <w:lang w:val="en-US" w:eastAsia="zh-CN"/>
        </w:rPr>
        <w:t xml:space="preserve">七</w:t>
      </w:r>
      <w:r>
        <w:rPr>
          <w:rFonts w:hint="eastAsia" w:ascii="宋体" w:hAnsi="宋体" w:eastAsia="宋体" w:cs="宋体"/>
          <w:b/>
          <w:bCs/>
          <w:i/>
          <w:sz w:val="24"/>
          <w:szCs w:val="24"/>
          <w:highlight w:val="none"/>
          <w:u w:val="single"/>
        </w:rPr>
        <w:t xml:space="preserve">、供应商信用承诺函</w:t>
      </w:r>
      <w:r/>
    </w:p>
    <w:p>
      <w:pPr>
        <w:jc w:val="center"/>
        <w:spacing w:line="500" w:lineRule="exact"/>
        <w:rPr>
          <w:rFonts w:ascii="方正仿宋_GBK"/>
          <w:color w:val="auto"/>
          <w:szCs w:val="32"/>
          <w:highlight w:val="none"/>
        </w:rPr>
      </w:pPr>
      <w:r>
        <w:rPr>
          <w:rFonts w:hint="eastAsia" w:ascii="宋体" w:hAnsi="宋体"/>
          <w:b/>
          <w:color w:val="auto"/>
          <w:szCs w:val="21"/>
          <w:highlight w:val="none"/>
        </w:rPr>
        <w:t xml:space="preserve">供应商信用承诺书</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keepLines w:val="0"/>
        <w:keepNext w:val="0"/>
        <w:pageBreakBefore w:val="0"/>
        <w:spacing w:line="480" w:lineRule="exact"/>
        <w:widowControl w:val="off"/>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keepLines w:val="0"/>
        <w:keepNext w:val="0"/>
        <w:pageBreakBefore w:val="0"/>
        <w:spacing w:line="480" w:lineRule="exact"/>
        <w:widowControl w:val="off"/>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承诺单位</w:t>
      </w:r>
      <w:r>
        <w:rPr>
          <w:rFonts w:hint="eastAsia" w:ascii="宋体" w:hAnsi="宋体" w:cs="宋体"/>
          <w:sz w:val="21"/>
          <w:szCs w:val="21"/>
          <w:highlight w:val="none"/>
        </w:rPr>
        <w:t xml:space="preserve">（加盖CA电子公章）</w:t>
      </w:r>
      <w:r>
        <w:rPr>
          <w:rFonts w:hint="eastAsia" w:ascii="宋体" w:hAnsi="宋体"/>
          <w:color w:val="auto"/>
          <w:sz w:val="21"/>
          <w:szCs w:val="21"/>
          <w:highlight w:val="none"/>
        </w:rPr>
        <w:t xml:space="preserve">：</w:t>
      </w:r>
      <w:r>
        <w:rPr>
          <w:rFonts w:hint="eastAsia" w:ascii="宋体" w:hAnsi="宋体"/>
          <w:color w:val="auto"/>
          <w:szCs w:val="21"/>
          <w:highlight w:val="none"/>
        </w:rPr>
        <w:t xml:space="preserve">           </w:t>
      </w:r>
      <w:r/>
    </w:p>
    <w:p>
      <w:pPr>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法定代表人（负责人）：</w:t>
      </w:r>
      <w:r/>
    </w:p>
    <w:p>
      <w:pPr>
        <w:pStyle w:val="920"/>
        <w:jc w:val="right"/>
        <w:rPr>
          <w:rFonts w:hint="eastAsia" w:ascii="宋体" w:hAnsi="宋体" w:eastAsia="宋体" w:cs="Times New Roman"/>
          <w:b w:val="0"/>
          <w:bCs w:val="0"/>
          <w:color w:val="auto"/>
          <w:sz w:val="21"/>
          <w:szCs w:val="21"/>
          <w:highlight w:val="none"/>
          <w:lang w:val="en-US" w:eastAsia="zh-CN" w:bidi="ar-SA"/>
        </w:rPr>
      </w:pPr>
      <w:r/>
      <w:bookmarkStart w:id="69" w:name="_Toc20792"/>
      <w:r>
        <w:rPr>
          <w:rFonts w:hint="eastAsia" w:ascii="宋体" w:hAnsi="宋体" w:eastAsia="宋体" w:cs="Times New Roman"/>
          <w:b w:val="0"/>
          <w:bCs w:val="0"/>
          <w:color w:val="auto"/>
          <w:sz w:val="21"/>
          <w:szCs w:val="21"/>
          <w:highlight w:val="none"/>
          <w:lang w:val="en-US" w:eastAsia="zh-CN" w:bidi="ar-SA"/>
        </w:rPr>
        <w:t xml:space="preserve">年    月    日</w:t>
      </w:r>
      <w:bookmarkEnd w:id="69"/>
      <w:r/>
      <w:r/>
    </w:p>
    <w:p>
      <w:pPr>
        <w:jc w:val="left"/>
        <w:keepLines/>
        <w:keepNext/>
        <w:spacing w:before="260" w:line="415" w:lineRule="auto"/>
        <w:rPr>
          <w:rFonts w:hint="eastAsia" w:ascii="宋体" w:hAnsi="宋体" w:eastAsia="宋体" w:cs="宋体"/>
          <w:i/>
          <w:sz w:val="32"/>
          <w:szCs w:val="32"/>
          <w:highlight w:val="none"/>
          <w:u w:val="single"/>
          <w:lang w:eastAsia="zh-CN"/>
        </w:rPr>
        <w:outlineLvl w:val="1"/>
      </w:pPr>
      <w:r>
        <w:rPr>
          <w:rFonts w:hint="eastAsia" w:ascii="宋体" w:hAnsi="宋体" w:cs="宋体"/>
          <w:i/>
          <w:sz w:val="32"/>
          <w:szCs w:val="32"/>
          <w:highlight w:val="none"/>
          <w:u w:val="single"/>
        </w:rPr>
        <w:br w:type="page" w:clear="all"/>
      </w:r>
      <w:r>
        <w:rPr>
          <w:rFonts w:hint="eastAsia" w:ascii="宋体" w:hAnsi="宋体" w:eastAsia="宋体" w:cs="宋体"/>
          <w:b/>
          <w:bCs/>
          <w:i/>
          <w:sz w:val="24"/>
          <w:szCs w:val="24"/>
          <w:highlight w:val="none"/>
          <w:u w:val="single"/>
          <w:lang w:val="en-US" w:eastAsia="zh-CN"/>
        </w:rPr>
        <w:t xml:space="preserve">八</w:t>
      </w:r>
      <w:r>
        <w:rPr>
          <w:rFonts w:hint="eastAsia" w:ascii="宋体" w:hAnsi="宋体" w:eastAsia="宋体" w:cs="宋体"/>
          <w:b/>
          <w:bCs/>
          <w:i/>
          <w:sz w:val="24"/>
          <w:szCs w:val="24"/>
          <w:highlight w:val="none"/>
          <w:u w:val="single"/>
        </w:rPr>
        <w:t xml:space="preserve">、特定资格要求的证明文件（如果本项目设置特定资格要求，则需要提供）</w:t>
      </w:r>
      <w:r/>
    </w:p>
    <w:p>
      <w:pPr>
        <w:jc w:val="left"/>
        <w:spacing w:line="360" w:lineRule="auto"/>
        <w:rPr>
          <w:rFonts w:hint="eastAsia" w:ascii="宋体" w:hAnsi="宋体"/>
          <w:sz w:val="24"/>
          <w:highlight w:val="none"/>
        </w:rPr>
      </w:pPr>
      <w:r>
        <w:rPr>
          <w:rFonts w:hint="eastAsia" w:ascii="宋体" w:hAnsi="宋体"/>
          <w:sz w:val="24"/>
          <w:highlight w:val="none"/>
        </w:rPr>
      </w:r>
      <w:r/>
    </w:p>
    <w:p>
      <w:pPr>
        <w:jc w:val="left"/>
        <w:keepLines/>
        <w:keepNext/>
        <w:spacing w:before="260" w:line="415" w:lineRule="auto"/>
        <w:rPr>
          <w:rFonts w:hint="eastAsia" w:ascii="宋体" w:hAnsi="宋体" w:eastAsia="宋体" w:cs="宋体"/>
          <w:b/>
          <w:bCs/>
          <w:i/>
          <w:sz w:val="24"/>
          <w:szCs w:val="24"/>
          <w:highlight w:val="none"/>
          <w:u w:val="single"/>
          <w:lang w:val="en-US" w:eastAsia="zh-CN"/>
        </w:rPr>
        <w:outlineLvl w:val="1"/>
      </w:pPr>
      <w:r>
        <w:rPr>
          <w:rFonts w:hint="eastAsia" w:ascii="宋体" w:hAnsi="宋体" w:eastAsia="宋体" w:cs="宋体"/>
          <w:b/>
          <w:bCs/>
          <w:i/>
          <w:sz w:val="24"/>
          <w:szCs w:val="24"/>
          <w:highlight w:val="none"/>
          <w:u w:val="single"/>
          <w:lang w:val="en-US" w:eastAsia="zh-CN"/>
        </w:rPr>
      </w:r>
      <w:r/>
    </w:p>
    <w:p>
      <w:pPr>
        <w:jc w:val="left"/>
        <w:keepLines/>
        <w:keepNext/>
        <w:spacing w:before="260" w:line="415" w:lineRule="auto"/>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rPr>
        <w:t xml:space="preserve">九</w:t>
      </w:r>
      <w:r>
        <w:rPr>
          <w:rFonts w:hint="eastAsia" w:ascii="宋体" w:hAnsi="宋体" w:eastAsia="宋体" w:cs="宋体"/>
          <w:b/>
          <w:bCs/>
          <w:i/>
          <w:sz w:val="24"/>
          <w:szCs w:val="24"/>
          <w:highlight w:val="none"/>
          <w:u w:val="single"/>
        </w:rPr>
        <w:t xml:space="preserve">、法人授权书</w:t>
      </w:r>
      <w:r/>
    </w:p>
    <w:p>
      <w:pPr>
        <w:pStyle w:val="964"/>
        <w:ind w:left="0" w:firstLine="0"/>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6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64"/>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6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64"/>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p>
    <w:p>
      <w:pPr>
        <w:pStyle w:val="964"/>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64"/>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（加盖CA电子公章）</w:t>
      </w:r>
      <w:r/>
    </w:p>
    <w:p>
      <w:pPr>
        <w:pStyle w:val="964"/>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64"/>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p>
    <w:p>
      <w:pPr>
        <w:spacing w:line="460" w:lineRule="exact"/>
        <w:rPr>
          <w:rFonts w:ascii="宋体" w:hAnsi="宋体"/>
          <w:bCs/>
          <w:color w:val="auto"/>
          <w:highlight w:val="none"/>
        </w:rPr>
      </w:pPr>
      <w:r>
        <w:rPr>
          <w:rFonts w:ascii="宋体" w:hAnsi="宋体"/>
          <w:bCs/>
          <w:color w:val="auto"/>
          <w:highlight w:val="none"/>
        </w:rPr>
      </w:r>
      <w:r/>
    </w:p>
    <w:p>
      <w:pPr>
        <w:ind w:firstLine="420"/>
        <w:spacing w:line="460" w:lineRule="exact"/>
        <w:rPr>
          <w:rFonts w:hint="eastAsia" w:ascii="宋体" w:hAnsi="宋体"/>
          <w:bCs/>
          <w:color w:val="auto"/>
          <w:highlight w:val="none"/>
        </w:rPr>
      </w:pPr>
      <w:r>
        <w:rPr>
          <w:rFonts w:hint="eastAsia" w:ascii="宋体" w:hAnsi="宋体"/>
          <w:bCs/>
          <w:color w:val="auto"/>
          <w:highlight w:val="none"/>
        </w:rPr>
        <w:t xml:space="preserve">被授权人身份证复印件：</w:t>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left"/>
        <w:keepLines/>
        <w:keepNext/>
        <w:pageBreakBefore w:val="0"/>
        <w:spacing w:line="416" w:lineRule="auto"/>
        <w:widowControl w:val="off"/>
        <w:rPr>
          <w:rFonts w:ascii="宋体" w:hAnsi="宋体" w:cs="宋体"/>
          <w:i/>
          <w:sz w:val="32"/>
          <w:szCs w:val="32"/>
          <w:highlight w:val="none"/>
          <w:u w:val="single"/>
        </w:rPr>
        <w:outlineLvl w:val="1"/>
      </w:pPr>
      <w:r>
        <w:rPr>
          <w:rFonts w:hint="eastAsia" w:ascii="宋体" w:hAnsi="宋体" w:eastAsia="宋体" w:cs="宋体"/>
          <w:b/>
          <w:bCs/>
          <w:i/>
          <w:sz w:val="24"/>
          <w:szCs w:val="24"/>
          <w:highlight w:val="none"/>
          <w:u w:val="single"/>
          <w:lang w:val="en-US" w:eastAsia="zh-CN"/>
        </w:rPr>
        <w:t xml:space="preserve">十</w:t>
      </w:r>
      <w:r>
        <w:rPr>
          <w:rFonts w:hint="eastAsia" w:ascii="宋体" w:hAnsi="宋体" w:eastAsia="宋体" w:cs="宋体"/>
          <w:b/>
          <w:bCs/>
          <w:i/>
          <w:sz w:val="24"/>
          <w:szCs w:val="24"/>
          <w:highlight w:val="none"/>
          <w:u w:val="single"/>
          <w:lang w:eastAsia="zh-CN"/>
        </w:rPr>
        <w:t xml:space="preserve">、</w:t>
      </w:r>
      <w:r>
        <w:rPr>
          <w:rFonts w:hint="eastAsia" w:ascii="宋体" w:hAnsi="宋体" w:eastAsia="宋体" w:cs="宋体"/>
          <w:b/>
          <w:bCs/>
          <w:i/>
          <w:sz w:val="24"/>
          <w:szCs w:val="24"/>
          <w:highlight w:val="none"/>
          <w:u w:val="single"/>
        </w:rPr>
        <w:t xml:space="preserve">投标函</w:t>
      </w:r>
      <w:r/>
    </w:p>
    <w:p>
      <w:pPr>
        <w:jc w:val="center"/>
        <w:spacing w:line="360" w:lineRule="auto"/>
        <w:rPr>
          <w:rFonts w:hint="eastAsia" w:ascii="宋体" w:hAnsi="宋体"/>
          <w:b/>
          <w:color w:val="auto"/>
          <w:highlight w:val="none"/>
        </w:rPr>
      </w:pPr>
      <w:r>
        <w:rPr>
          <w:rFonts w:hint="eastAsia" w:ascii="宋体" w:hAnsi="宋体"/>
          <w:b/>
          <w:color w:val="auto"/>
          <w:highlight w:val="none"/>
        </w:rPr>
        <w:t xml:space="preserve">投标函</w:t>
      </w:r>
      <w:r/>
    </w:p>
    <w:p>
      <w:pPr>
        <w:pStyle w:val="964"/>
        <w:ind w:left="0" w:firstLine="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ascii="宋体" w:hAnsi="宋体"/>
          <w:color w:val="auto"/>
          <w:sz w:val="21"/>
          <w:szCs w:val="21"/>
          <w:highlight w:val="none"/>
          <w:u w:val="single"/>
          <w:lang w:eastAsia="zh-CN"/>
        </w:rPr>
        <w:t xml:space="preserve">扬州博远工程咨询有限公司</w:t>
      </w:r>
      <w:r/>
    </w:p>
    <w:p>
      <w:pPr>
        <w:pStyle w:val="96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 xml:space="preserve">）号</w:t>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p>
    <w:p>
      <w:pPr>
        <w:pStyle w:val="96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6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6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6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63"/>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63"/>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63"/>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63"/>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6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6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6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6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6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6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6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ind w:firstLine="420"/>
        <w:spacing w:line="360" w:lineRule="auto"/>
        <w:rPr>
          <w:rFonts w:hint="eastAsia" w:ascii="宋体" w:hAnsi="宋体"/>
          <w:b/>
          <w:bCs/>
          <w:color w:val="auto"/>
          <w:highlight w:val="none"/>
        </w:rPr>
      </w:pPr>
      <w:r>
        <w:rPr>
          <w:rFonts w:hint="eastAsia" w:ascii="宋体" w:hAnsi="宋体"/>
          <w:color w:val="auto"/>
          <w:sz w:val="21"/>
          <w:szCs w:val="21"/>
          <w:highlight w:val="none"/>
        </w:rPr>
        <w:t xml:space="preserve">日 期：________年____月____日</w:t>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after="312"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numPr>
          <w:ilvl w:val="0"/>
          <w:numId w:val="0"/>
        </w:numPr>
        <w:jc w:val="left"/>
        <w:keepLines/>
        <w:keepNext/>
        <w:pageBreakBefore w:val="0"/>
        <w:spacing w:line="416" w:lineRule="auto"/>
        <w:widowControl w:val="off"/>
        <w:rPr>
          <w:rFonts w:hint="eastAsia" w:ascii="宋体" w:hAnsi="宋体" w:eastAsia="宋体" w:cs="宋体"/>
          <w:b/>
          <w:bCs/>
          <w:i/>
          <w:sz w:val="24"/>
          <w:szCs w:val="24"/>
          <w:highlight w:val="none"/>
          <w:u w:val="single"/>
        </w:rPr>
        <w:outlineLvl w:val="1"/>
      </w:pPr>
      <w:r>
        <w:rPr>
          <w:rFonts w:hint="eastAsia" w:ascii="宋体" w:hAnsi="宋体" w:eastAsia="宋体" w:cs="宋体"/>
          <w:b/>
          <w:bCs/>
          <w:i/>
          <w:sz w:val="24"/>
          <w:szCs w:val="24"/>
          <w:highlight w:val="none"/>
          <w:u w:val="single"/>
          <w:lang w:val="en-US" w:eastAsia="zh-CN" w:bidi="ar-SA"/>
        </w:rPr>
        <w:t xml:space="preserve">十一、</w:t>
      </w:r>
      <w:r>
        <w:rPr>
          <w:rFonts w:hint="eastAsia" w:ascii="宋体" w:hAnsi="宋体" w:eastAsia="宋体" w:cs="宋体"/>
          <w:b/>
          <w:bCs/>
          <w:i/>
          <w:sz w:val="24"/>
          <w:szCs w:val="24"/>
          <w:highlight w:val="none"/>
          <w:u w:val="single"/>
        </w:rPr>
        <w:t xml:space="preserve">中小企业声明函（货物）</w:t>
      </w:r>
      <w:r/>
    </w:p>
    <w:p>
      <w:pPr>
        <w:jc w:val="center"/>
        <w:spacing w:line="360" w:lineRule="auto"/>
        <w:rPr>
          <w:rFonts w:hint="eastAsia"/>
          <w:highlight w:val="none"/>
        </w:rPr>
      </w:pPr>
      <w:r>
        <w:rPr>
          <w:rFonts w:hint="eastAsia" w:ascii="宋体" w:hAnsi="宋体" w:eastAsia="宋体" w:cs="Times New Roman"/>
          <w:b/>
          <w:color w:val="auto"/>
          <w:highlight w:val="none"/>
        </w:rPr>
        <w:t xml:space="preserve">中小企业声明函（货物）</w:t>
      </w:r>
      <w:r/>
    </w:p>
    <w:p>
      <w:pPr>
        <w:pStyle w:val="963"/>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本公司（联合体）郑重声明，根据《政府采购促进中小企业发展管理办法》(财库[2020]46号)的规定，本公司（联合体）参加的</w:t>
      </w:r>
      <w:r>
        <w:rPr>
          <w:rFonts w:hint="eastAsia" w:ascii="宋体" w:hAnsi="宋体" w:eastAsia="宋体" w:cs="Times New Roman"/>
          <w:color w:val="auto"/>
          <w:sz w:val="21"/>
          <w:szCs w:val="21"/>
          <w:highlight w:val="none"/>
          <w:u w:val="single"/>
        </w:rPr>
        <w:t xml:space="preserve">（单位名称）</w:t>
      </w:r>
      <w:r>
        <w:rPr>
          <w:rFonts w:hint="eastAsia" w:ascii="宋体" w:hAnsi="宋体" w:eastAsia="宋体" w:cs="Times New Roman"/>
          <w:color w:val="auto"/>
          <w:sz w:val="21"/>
          <w:szCs w:val="21"/>
          <w:highlight w:val="none"/>
          <w:lang w:val="en-US" w:eastAsia="zh-CN"/>
        </w:rPr>
        <w:t xml:space="preserve">的</w:t>
      </w:r>
      <w:r>
        <w:rPr>
          <w:rFonts w:hint="eastAsia" w:ascii="宋体" w:hAnsi="宋体" w:eastAsia="宋体" w:cs="Times New Roman"/>
          <w:color w:val="auto"/>
          <w:sz w:val="21"/>
          <w:szCs w:val="21"/>
          <w:highlight w:val="none"/>
          <w:u w:val="single"/>
        </w:rPr>
        <w:t xml:space="preserve">（项目名称）</w:t>
      </w:r>
      <w:r>
        <w:rPr>
          <w:rFonts w:hint="eastAsia" w:ascii="宋体" w:hAnsi="宋体" w:eastAsia="宋体" w:cs="Times New Roman"/>
          <w:color w:val="auto"/>
          <w:sz w:val="21"/>
          <w:szCs w:val="21"/>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963"/>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（标的名称）</w:t>
      </w:r>
      <w:r>
        <w:rPr>
          <w:rFonts w:hint="eastAsia" w:ascii="宋体" w:hAnsi="宋体" w:eastAsia="宋体" w:cs="Times New Roman"/>
          <w:color w:val="auto"/>
          <w:sz w:val="21"/>
          <w:szCs w:val="21"/>
          <w:highlight w:val="none"/>
        </w:rPr>
        <w:t xml:space="preserve">，属于</w:t>
      </w:r>
      <w:r>
        <w:rPr>
          <w:rFonts w:hint="eastAsia" w:ascii="宋体" w:hAnsi="宋体" w:eastAsia="宋体" w:cs="Times New Roman"/>
          <w:b/>
          <w:bCs/>
          <w:color w:val="auto"/>
          <w:sz w:val="21"/>
          <w:szCs w:val="21"/>
          <w:highlight w:val="none"/>
          <w:u w:val="single"/>
        </w:rPr>
        <w:t xml:space="preserve"> 工业  </w:t>
      </w:r>
      <w:r>
        <w:rPr>
          <w:rFonts w:hint="eastAsia" w:ascii="宋体" w:hAnsi="宋体" w:eastAsia="宋体" w:cs="Times New Roman"/>
          <w:color w:val="auto"/>
          <w:sz w:val="21"/>
          <w:szCs w:val="21"/>
          <w:highlight w:val="none"/>
        </w:rPr>
        <w:t xml:space="preserve">行业；制造商为（企业名称），从业人员</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人，营业收入为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万元，资产总额为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万元，属于</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（中型企业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小型企业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微型企业）</w:t>
      </w:r>
      <w:r>
        <w:rPr>
          <w:rFonts w:hint="eastAsia" w:ascii="宋体" w:hAnsi="宋体" w:eastAsia="宋体" w:cs="Times New Roman"/>
          <w:color w:val="auto"/>
          <w:sz w:val="21"/>
          <w:szCs w:val="21"/>
          <w:highlight w:val="none"/>
        </w:rPr>
        <w:t xml:space="preserve">；</w:t>
      </w:r>
      <w:r/>
    </w:p>
    <w:p>
      <w:pPr>
        <w:pStyle w:val="963"/>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（标的名称）</w:t>
      </w:r>
      <w:r>
        <w:rPr>
          <w:rFonts w:hint="eastAsia" w:ascii="宋体" w:hAnsi="宋体" w:eastAsia="宋体" w:cs="Times New Roman"/>
          <w:color w:val="auto"/>
          <w:sz w:val="21"/>
          <w:szCs w:val="21"/>
          <w:highlight w:val="none"/>
        </w:rPr>
        <w:t xml:space="preserve">，属于</w:t>
      </w:r>
      <w:r>
        <w:rPr>
          <w:rFonts w:hint="eastAsia" w:ascii="宋体" w:hAnsi="宋体" w:eastAsia="宋体" w:cs="Times New Roman"/>
          <w:b/>
          <w:bCs/>
          <w:color w:val="auto"/>
          <w:sz w:val="21"/>
          <w:szCs w:val="21"/>
          <w:highlight w:val="none"/>
          <w:u w:val="single"/>
        </w:rPr>
        <w:t xml:space="preserve"> 工业  </w:t>
      </w:r>
      <w:r>
        <w:rPr>
          <w:rFonts w:hint="eastAsia" w:ascii="宋体" w:hAnsi="宋体" w:eastAsia="宋体" w:cs="Times New Roman"/>
          <w:color w:val="auto"/>
          <w:sz w:val="21"/>
          <w:szCs w:val="21"/>
          <w:highlight w:val="none"/>
        </w:rPr>
        <w:t xml:space="preserve">行业；制造商为（企业名称），从业人员</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人，营业收入为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万元，资产总额为</w:t>
      </w:r>
      <w:r>
        <w:rPr>
          <w:rFonts w:hint="eastAsia"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 xml:space="preserve">万元，属于</w:t>
      </w:r>
      <w:r>
        <w:rPr>
          <w:rFonts w:hint="eastAsia" w:ascii="宋体" w:hAnsi="宋体" w:eastAsia="宋体" w:cs="Times New Roman"/>
          <w:color w:val="auto"/>
          <w:sz w:val="21"/>
          <w:szCs w:val="21"/>
          <w:highlight w:val="none"/>
          <w:u w:val="single"/>
          <w:lang w:val="en-US" w:eastAsia="zh-CN"/>
        </w:rPr>
        <w:t xml:space="preserve">     </w:t>
      </w:r>
      <w:r>
        <w:rPr>
          <w:rFonts w:hint="eastAsia" w:ascii="宋体" w:hAnsi="宋体" w:eastAsia="宋体" w:cs="Times New Roman"/>
          <w:color w:val="auto"/>
          <w:sz w:val="21"/>
          <w:szCs w:val="21"/>
          <w:highlight w:val="none"/>
          <w:u w:val="single"/>
        </w:rPr>
        <w:t xml:space="preserve">（中型企业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小型企业 </w:t>
      </w:r>
      <w:r>
        <w:rPr>
          <w:rFonts w:hint="eastAsia" w:ascii="宋体" w:hAnsi="宋体" w:eastAsia="宋体" w:cs="Times New Roman"/>
          <w:color w:val="auto"/>
          <w:sz w:val="21"/>
          <w:szCs w:val="21"/>
          <w:highlight w:val="none"/>
          <w:u w:val="single"/>
          <w:lang w:eastAsia="zh-CN"/>
        </w:rPr>
        <w:t xml:space="preserve">、</w:t>
      </w:r>
      <w:r>
        <w:rPr>
          <w:rFonts w:hint="eastAsia" w:ascii="宋体" w:hAnsi="宋体" w:eastAsia="宋体" w:cs="Times New Roman"/>
          <w:color w:val="auto"/>
          <w:sz w:val="21"/>
          <w:szCs w:val="21"/>
          <w:highlight w:val="none"/>
          <w:u w:val="single"/>
        </w:rPr>
        <w:t xml:space="preserve">微型企业）</w:t>
      </w:r>
      <w:r>
        <w:rPr>
          <w:rFonts w:hint="eastAsia" w:ascii="宋体" w:hAnsi="宋体" w:eastAsia="宋体" w:cs="Times New Roman"/>
          <w:color w:val="auto"/>
          <w:sz w:val="21"/>
          <w:szCs w:val="21"/>
          <w:highlight w:val="none"/>
        </w:rPr>
        <w:t xml:space="preserve">；</w:t>
      </w:r>
      <w:r/>
    </w:p>
    <w:p>
      <w:pPr>
        <w:pStyle w:val="963"/>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pStyle w:val="963"/>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pStyle w:val="963"/>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本企业对上述声明内容的真实性负责。如有虚假，将依法承担相应责任</w:t>
      </w:r>
      <w:r/>
    </w:p>
    <w:p>
      <w:pPr>
        <w:pStyle w:val="963"/>
        <w:ind w:firstLine="420"/>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 xml:space="preserve">2</w:t>
      </w:r>
      <w:r>
        <w:rPr>
          <w:rFonts w:hint="eastAsia" w:ascii="宋体" w:hAnsi="宋体"/>
          <w:color w:val="auto"/>
          <w:highlight w:val="none"/>
        </w:rPr>
        <w:t xml:space="preserve">、企业声明函请完整填写，中标后将公示。</w:t>
      </w:r>
      <w:r/>
    </w:p>
    <w:p>
      <w:pPr>
        <w:ind w:firstLine="420"/>
        <w:jc w:val="left"/>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、投标人应当对其出具的《中小企业声明函》真实性负责，投标人出具的《中小企业声明函》内容不实的，属于提供虚假材料谋取中标。</w:t>
      </w:r>
      <w:r/>
    </w:p>
    <w:p>
      <w:pPr>
        <w:ind w:firstLine="420"/>
        <w:jc w:val="left"/>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、中小企业不得属于大企业的分支机构，不得存在控股股东为大企业的情形，不得存在与大企业的负责人为同一人的情形。</w:t>
      </w:r>
      <w:r/>
    </w:p>
    <w:p>
      <w:pPr>
        <w:ind w:firstLine="420"/>
        <w:jc w:val="left"/>
        <w:rPr>
          <w:color w:val="auto"/>
          <w:highlight w:val="none"/>
        </w:rPr>
      </w:pPr>
      <w:r>
        <w:rPr>
          <w:rFonts w:hint="eastAsia"/>
          <w:color w:val="auto"/>
          <w:highlight w:val="none"/>
          <w:lang w:val="en-US" w:eastAsia="zh-CN"/>
        </w:rPr>
        <w:t xml:space="preserve">5</w:t>
      </w:r>
      <w:r>
        <w:rPr>
          <w:rFonts w:hint="eastAsia"/>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63"/>
        <w:ind w:firstLine="480"/>
        <w:spacing w:before="0" w:after="0"/>
        <w:rPr>
          <w:rFonts w:hint="eastAsia" w:ascii="宋体" w:hAnsi="宋体" w:eastAsia="宋体" w:cs="Times New Roman"/>
          <w:color w:val="auto"/>
          <w:sz w:val="21"/>
          <w:szCs w:val="21"/>
          <w:highlight w:val="none"/>
        </w:rPr>
      </w:pPr>
      <w:r>
        <w:rPr>
          <w:rFonts w:ascii="宋体" w:hAnsi="宋体"/>
          <w:sz w:val="24"/>
          <w:szCs w:val="24"/>
          <w:highlight w:val="none"/>
        </w:rPr>
        <w:t xml:space="preserve">           </w:t>
      </w:r>
      <w:r/>
    </w:p>
    <w:p>
      <w:pPr>
        <w:pStyle w:val="963"/>
        <w:ind w:firstLine="420"/>
        <w:jc w:val="right"/>
        <w:spacing w:before="0" w:after="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企业名称（加盖CA电子公章）：</w:t>
      </w:r>
      <w:r/>
    </w:p>
    <w:p>
      <w:pPr>
        <w:pStyle w:val="963"/>
        <w:ind w:firstLine="5880"/>
        <w:jc w:val="both"/>
        <w:spacing w:before="0" w:after="0"/>
        <w:rPr>
          <w:rFonts w:ascii="宋体" w:hAnsi="宋体"/>
          <w:sz w:val="24"/>
          <w:szCs w:val="24"/>
          <w:highlight w:val="none"/>
        </w:rPr>
      </w:pPr>
      <w:r>
        <w:rPr>
          <w:rFonts w:hint="eastAsia" w:ascii="宋体" w:hAnsi="宋体" w:eastAsia="宋体" w:cs="Times New Roman"/>
          <w:color w:val="auto"/>
          <w:sz w:val="21"/>
          <w:szCs w:val="21"/>
          <w:highlight w:val="none"/>
        </w:rPr>
        <w:t xml:space="preserve">日  期：</w:t>
      </w:r>
      <w:r/>
    </w:p>
    <w:p>
      <w:pPr>
        <w:pStyle w:val="919"/>
        <w:jc w:val="center"/>
        <w:pageBreakBefore w:val="0"/>
        <w:spacing w:before="0" w:beforeAutospacing="0" w:after="300" w:line="300" w:lineRule="exact"/>
        <w:widowControl/>
        <w:rPr>
          <w:rFonts w:ascii="宋体" w:hAnsi="宋体"/>
          <w:color w:val="auto"/>
          <w:sz w:val="21"/>
          <w:szCs w:val="21"/>
          <w:highlight w:val="none"/>
        </w:rPr>
      </w:pPr>
      <w:r/>
      <w:bookmarkStart w:id="70" w:name="_Toc22620"/>
      <w:r/>
      <w:bookmarkStart w:id="71" w:name="_Toc19182"/>
      <w:r>
        <w:rPr>
          <w:rFonts w:hint="eastAsia" w:ascii="宋体" w:hAnsi="宋体" w:cs="微软雅黑"/>
          <w:bCs w:val="0"/>
          <w:color w:val="auto"/>
          <w:sz w:val="21"/>
          <w:szCs w:val="21"/>
          <w:highlight w:val="none"/>
        </w:rPr>
        <w:t xml:space="preserve">中小微企业划型标准</w:t>
      </w:r>
      <w:bookmarkEnd w:id="70"/>
      <w:r/>
      <w:bookmarkEnd w:id="71"/>
      <w:r/>
      <w:r/>
    </w:p>
    <w:p>
      <w:pPr>
        <w:pStyle w:val="938"/>
        <w:pageBreakBefore w:val="0"/>
        <w:spacing w:before="0" w:beforeAutospacing="0" w:after="452" w:line="300" w:lineRule="exact"/>
        <w:widowControl/>
        <w:rPr>
          <w:rStyle w:val="941"/>
          <w:rFonts w:hint="eastAsia" w:ascii="宋体" w:hAnsi="宋体" w:cs="仿宋"/>
          <w:color w:val="auto"/>
          <w:sz w:val="21"/>
          <w:szCs w:val="21"/>
          <w:highlight w:val="none"/>
        </w:rPr>
      </w:pPr>
      <w:r>
        <w:rPr>
          <w:rStyle w:val="941"/>
          <w:rFonts w:hint="eastAsia" w:ascii="宋体" w:hAnsi="宋体" w:cs="仿宋"/>
          <w:color w:val="auto"/>
          <w:sz w:val="21"/>
          <w:szCs w:val="21"/>
          <w:highlight w:val="none"/>
        </w:rPr>
        <w:t xml:space="preserve">中小微企业划型标准如下：</w:t>
      </w:r>
      <w:r/>
    </w:p>
    <w:tbl>
      <w:tblPr>
        <w:tblStyle w:val="923"/>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48"/>
        <w:gridCol w:w="1588"/>
        <w:gridCol w:w="937"/>
        <w:gridCol w:w="1916"/>
        <w:gridCol w:w="1822"/>
        <w:gridCol w:w="1099"/>
      </w:tblGrid>
      <w:tr>
        <w:trPr>
          <w:jc w:val="center"/>
          <w:tblCellSpacing w:w="15" w:type="dxa"/>
          <w:trHeight w:val="285"/>
        </w:trPr>
        <w:tc>
          <w:tcPr>
            <w:tcW w:w="1803" w:type="dxa"/>
            <w:vAlign w:val="center"/>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行业名称</w:t>
            </w:r>
            <w:r/>
          </w:p>
        </w:tc>
        <w:tc>
          <w:tcPr>
            <w:tcW w:w="1558" w:type="dxa"/>
            <w:vAlign w:val="center"/>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指标名称</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计量单位</w:t>
            </w:r>
            <w:r/>
          </w:p>
        </w:tc>
        <w:tc>
          <w:tcPr>
            <w:tcW w:w="1886" w:type="dxa"/>
            <w:vAlign w:val="center"/>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中型</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小型</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微型</w:t>
            </w:r>
            <w:r/>
          </w:p>
        </w:tc>
      </w:tr>
      <w:tr>
        <w:trPr>
          <w:jc w:val="center"/>
          <w:tblCellSpacing w:w="15" w:type="dxa"/>
          <w:trHeight w:val="225"/>
        </w:trPr>
        <w:tc>
          <w:tcPr>
            <w:tcW w:w="1803" w:type="dxa"/>
            <w:vAlign w:val="center"/>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农、林、牧、渔</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500≤Y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50≤Y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工业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300≤X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20≤X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2000≤Y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40000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300≤Y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建筑业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6000≤Y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80000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300≤Y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6000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资产总额（</w:t>
            </w:r>
            <w:r>
              <w:rPr>
                <w:rStyle w:val="977"/>
                <w:rFonts w:hint="eastAsia" w:ascii="宋体" w:hAnsi="宋体" w:cs="仿宋"/>
                <w:sz w:val="21"/>
                <w:highlight w:val="none"/>
              </w:rPr>
              <w:t xml:space="preserve">Z</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5000≤Z</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80000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300≤Z</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Z</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批发业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20≤X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5≤X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5000≤Y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40000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零售业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50≤X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500≤Y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交通运输业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300≤X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20≤X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3000≤Y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200≤Y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仓储业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20≤X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邮政业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300≤X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20≤X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2000≤Y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住宿业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2000≤Y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餐饮业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2000≤Y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信息传输业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软件和信息技术服务业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50≤Y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房地产开发经营</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资产总额（</w:t>
            </w:r>
            <w:r>
              <w:rPr>
                <w:rStyle w:val="977"/>
                <w:rFonts w:hint="eastAsia" w:ascii="宋体" w:hAnsi="宋体" w:cs="仿宋"/>
                <w:sz w:val="21"/>
                <w:highlight w:val="none"/>
              </w:rPr>
              <w:t xml:space="preserve">Z</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5000≤Z</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2000≤Y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2000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物业管理</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300≤X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营业收入（</w:t>
            </w: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500≤Y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500</w:t>
            </w:r>
            <w:r/>
          </w:p>
        </w:tc>
      </w:tr>
      <w:tr>
        <w:trPr>
          <w:jc w:val="center"/>
          <w:tblCellSpacing w:w="15" w:type="dxa"/>
          <w:trHeight w:val="225"/>
        </w:trPr>
        <w:tc>
          <w:tcPr>
            <w:tcW w:w="1803" w:type="dxa"/>
            <w:vAlign w:val="center"/>
            <w:vMerge w:val="restart"/>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租赁和商务服务业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w:t>
            </w:r>
            <w:r/>
          </w:p>
        </w:tc>
      </w:tr>
      <w:tr>
        <w:trPr>
          <w:jc w:val="center"/>
          <w:tblCellSpacing w:w="15" w:type="dxa"/>
          <w:trHeight w:val="225"/>
        </w:trPr>
        <w:tc>
          <w:tcPr>
            <w:tcW w:w="1803" w:type="dxa"/>
            <w:vAlign w:val="center"/>
            <w:vMerge w:val="continue"/>
            <w:textDirection w:val="lrTb"/>
            <w:noWrap w:val="false"/>
          </w:tcPr>
          <w:p>
            <w:pPr>
              <w:rPr>
                <w:rFonts w:ascii="宋体" w:hAnsi="宋体"/>
                <w:highlight w:val="none"/>
              </w:rPr>
            </w:pPr>
            <w:r>
              <w:rPr>
                <w:rFonts w:ascii="宋体" w:hAnsi="宋体"/>
                <w:highlight w:val="none"/>
              </w:rPr>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资产总额（</w:t>
            </w:r>
            <w:r>
              <w:rPr>
                <w:rStyle w:val="977"/>
                <w:rFonts w:hint="eastAsia" w:ascii="宋体" w:hAnsi="宋体" w:cs="仿宋"/>
                <w:sz w:val="21"/>
                <w:highlight w:val="none"/>
              </w:rPr>
              <w:t xml:space="preserve">Z</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万元</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8000≤Z</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120000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100≤Z</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8000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Y</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r>
      <w:tr>
        <w:trPr>
          <w:jc w:val="center"/>
          <w:tblCellSpacing w:w="15" w:type="dxa"/>
          <w:trHeight w:val="225"/>
        </w:trPr>
        <w:tc>
          <w:tcPr>
            <w:tcW w:w="1803" w:type="dxa"/>
            <w:vAlign w:val="center"/>
            <w:textDirection w:val="lrTb"/>
            <w:noWrap w:val="false"/>
          </w:tcPr>
          <w:p>
            <w:pPr>
              <w:pStyle w:val="976"/>
              <w:jc w:val="center"/>
              <w:rPr>
                <w:rFonts w:ascii="宋体" w:hAnsi="宋体"/>
                <w:sz w:val="21"/>
                <w:highlight w:val="none"/>
              </w:rPr>
            </w:pPr>
            <w:r>
              <w:rPr>
                <w:rStyle w:val="977"/>
                <w:rFonts w:hint="eastAsia" w:ascii="宋体" w:hAnsi="宋体" w:cs="宋体"/>
                <w:sz w:val="21"/>
                <w:highlight w:val="none"/>
              </w:rPr>
              <w:t xml:space="preserve">其他未列明行业</w:t>
            </w:r>
            <w:r/>
          </w:p>
        </w:tc>
        <w:tc>
          <w:tcPr>
            <w:tcW w:w="1558"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从业人员（</w:t>
            </w: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p>
        </w:tc>
        <w:tc>
          <w:tcPr>
            <w:tcW w:w="907" w:type="dxa"/>
            <w:vAlign w:val="center"/>
            <w:textDirection w:val="lrTb"/>
            <w:noWrap w:val="false"/>
          </w:tcPr>
          <w:p>
            <w:pPr>
              <w:pStyle w:val="976"/>
              <w:rPr>
                <w:rFonts w:ascii="宋体" w:hAnsi="宋体"/>
                <w:sz w:val="21"/>
                <w:highlight w:val="none"/>
              </w:rPr>
            </w:pPr>
            <w:r>
              <w:rPr>
                <w:rStyle w:val="977"/>
                <w:rFonts w:hint="eastAsia" w:ascii="宋体" w:hAnsi="宋体" w:cs="宋体"/>
                <w:sz w:val="21"/>
                <w:highlight w:val="none"/>
              </w:rPr>
              <w:t xml:space="preserve">人</w:t>
            </w:r>
            <w:r/>
          </w:p>
        </w:tc>
        <w:tc>
          <w:tcPr>
            <w:tcW w:w="1886"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100≤X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300</w:t>
            </w:r>
            <w:r/>
          </w:p>
        </w:tc>
        <w:tc>
          <w:tcPr>
            <w:tcW w:w="1792" w:type="dxa"/>
            <w:vAlign w:val="center"/>
            <w:textDirection w:val="lrTb"/>
            <w:noWrap w:val="false"/>
          </w:tcPr>
          <w:p>
            <w:pPr>
              <w:pStyle w:val="976"/>
              <w:jc w:val="center"/>
              <w:rPr>
                <w:rFonts w:ascii="宋体" w:hAnsi="宋体"/>
                <w:sz w:val="21"/>
                <w:highlight w:val="none"/>
              </w:rPr>
            </w:pPr>
            <w:r>
              <w:rPr>
                <w:rStyle w:val="977"/>
                <w:rFonts w:hint="eastAsia" w:ascii="宋体" w:hAnsi="宋体" w:cs="仿宋"/>
                <w:sz w:val="21"/>
                <w:highlight w:val="none"/>
              </w:rPr>
              <w:t xml:space="preserve">10≤X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100</w:t>
            </w:r>
            <w:r/>
          </w:p>
        </w:tc>
        <w:tc>
          <w:tcPr>
            <w:tcW w:w="1054" w:type="dxa"/>
            <w:vAlign w:val="center"/>
            <w:textDirection w:val="lrTb"/>
            <w:noWrap w:val="false"/>
          </w:tcPr>
          <w:p>
            <w:pPr>
              <w:pStyle w:val="976"/>
              <w:rPr>
                <w:rFonts w:ascii="宋体" w:hAnsi="宋体"/>
                <w:sz w:val="21"/>
                <w:highlight w:val="none"/>
              </w:rPr>
            </w:pPr>
            <w:r>
              <w:rPr>
                <w:rStyle w:val="977"/>
                <w:rFonts w:hint="eastAsia" w:ascii="宋体" w:hAnsi="宋体" w:cs="仿宋"/>
                <w:sz w:val="21"/>
                <w:highlight w:val="none"/>
              </w:rPr>
              <w:t xml:space="preserve">X</w:t>
            </w:r>
            <w:r>
              <w:rPr>
                <w:rStyle w:val="977"/>
                <w:rFonts w:hint="eastAsia" w:ascii="宋体" w:hAnsi="宋体" w:cs="宋体"/>
                <w:sz w:val="21"/>
                <w:highlight w:val="none"/>
              </w:rPr>
              <w:t xml:space="preserve">＜</w:t>
            </w:r>
            <w:r>
              <w:rPr>
                <w:rStyle w:val="977"/>
                <w:rFonts w:hint="eastAsia" w:ascii="宋体" w:hAnsi="宋体" w:cs="仿宋"/>
                <w:sz w:val="21"/>
                <w:highlight w:val="none"/>
              </w:rPr>
              <w:t xml:space="preserve">10</w:t>
            </w:r>
            <w:r/>
          </w:p>
        </w:tc>
      </w:tr>
    </w:tbl>
    <w:p>
      <w:pPr>
        <w:keepLines w:val="0"/>
        <w:keepNext w:val="0"/>
        <w:pageBreakBefore w:val="0"/>
        <w:spacing w:line="240" w:lineRule="auto"/>
        <w:widowControl w:val="off"/>
        <w:rPr>
          <w:rStyle w:val="941"/>
          <w:rFonts w:hint="eastAsia" w:ascii="宋体" w:hAnsi="宋体" w:cs="仿宋"/>
          <w:color w:val="auto"/>
          <w:sz w:val="21"/>
          <w:szCs w:val="21"/>
          <w:highlight w:val="none"/>
        </w:rPr>
      </w:pPr>
      <w:r>
        <w:rPr>
          <w:rStyle w:val="94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keepLines w:val="0"/>
        <w:keepNext w:val="0"/>
        <w:pageBreakBefore w:val="0"/>
        <w:spacing w:line="360" w:lineRule="auto"/>
        <w:widowControl w:val="off"/>
        <w:rPr>
          <w:rFonts w:hint="eastAsia" w:ascii="黑体" w:hAnsi="黑体" w:eastAsia="黑体"/>
          <w:b/>
          <w:sz w:val="32"/>
          <w:szCs w:val="32"/>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、残疾人福利性单位声明函</w:t>
      </w:r>
      <w:r>
        <w:rPr>
          <w:rFonts w:hint="eastAsia" w:ascii="宋体" w:hAnsi="宋体" w:cs="宋体"/>
          <w:b/>
          <w:bCs/>
          <w:sz w:val="24"/>
          <w:szCs w:val="24"/>
          <w:highlight w:val="none"/>
        </w:rPr>
        <w:t xml:space="preserve">（如适用）</w:t>
      </w:r>
      <w:r/>
    </w:p>
    <w:p>
      <w:pPr>
        <w:ind w:firstLine="420"/>
        <w:keepLines w:val="0"/>
        <w:keepNext w:val="0"/>
        <w:pageBreakBefore w:val="0"/>
        <w:spacing w:before="161"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项目（分包号：**）采购活动由本单位提供服务。</w:t>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ind w:firstLine="420"/>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w:t>
      </w:r>
      <w:r>
        <w:rPr>
          <w:rFonts w:hint="eastAsia" w:ascii="宋体" w:hAnsi="宋体"/>
          <w:color w:val="000000"/>
          <w:sz w:val="21"/>
          <w:szCs w:val="21"/>
          <w:highlight w:val="none"/>
        </w:rPr>
        <w:t xml:space="preserve">备注：</w:t>
      </w:r>
      <w:r>
        <w:rPr>
          <w:rFonts w:hint="eastAsia" w:ascii="宋体" w:hAnsi="宋体"/>
          <w:sz w:val="21"/>
          <w:szCs w:val="21"/>
          <w:highlight w:val="none"/>
        </w:rPr>
        <w:t xml:space="preserve">中标人为残疾人福利单位的，此声明函将随中标结果同时公告，接受社会监督）</w:t>
      </w:r>
      <w:r/>
    </w:p>
    <w:p>
      <w:pPr>
        <w:ind w:firstLine="444"/>
        <w:pageBreakBefore w:val="0"/>
        <w:spacing w:line="360" w:lineRule="auto"/>
        <w:rPr>
          <w:rFonts w:ascii="仿宋_GB2312" w:eastAsia="仿宋_GB2312"/>
          <w:spacing w:val="6"/>
          <w:sz w:val="21"/>
          <w:szCs w:val="21"/>
          <w:highlight w:val="none"/>
        </w:rPr>
      </w:pPr>
      <w:r>
        <w:rPr>
          <w:rFonts w:ascii="仿宋_GB2312" w:eastAsia="仿宋_GB2312"/>
          <w:spacing w:val="6"/>
          <w:sz w:val="21"/>
          <w:szCs w:val="21"/>
          <w:highlight w:val="none"/>
        </w:rPr>
      </w:r>
      <w:r/>
    </w:p>
    <w:p>
      <w:pPr>
        <w:ind w:right="1560" w:firstLine="444"/>
        <w:jc w:val="center"/>
        <w:pageBreakBefore w:val="0"/>
        <w:spacing w:line="360" w:lineRule="auto"/>
        <w:tabs>
          <w:tab w:val="left" w:pos="4860" w:leader="none"/>
        </w:tabs>
        <w:rPr>
          <w:rFonts w:ascii="宋体" w:hAnsi="宋体"/>
          <w:sz w:val="21"/>
          <w:szCs w:val="21"/>
          <w:highlight w:val="none"/>
        </w:rPr>
      </w:pPr>
      <w:r>
        <w:rPr>
          <w:rFonts w:hint="eastAsia" w:ascii="仿宋_GB2312" w:eastAsia="仿宋_GB2312"/>
          <w:spacing w:val="6"/>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供应商全称（加盖CA电子公章）：</w:t>
      </w:r>
      <w:r/>
    </w:p>
    <w:p>
      <w:pPr>
        <w:jc w:val="left"/>
        <w:spacing w:line="360" w:lineRule="auto"/>
        <w:rPr>
          <w:rFonts w:hint="eastAsia" w:ascii="宋体" w:hAnsi="宋体"/>
          <w:sz w:val="21"/>
          <w:szCs w:val="21"/>
          <w:highlight w:val="none"/>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w:t>
      </w:r>
      <w:r/>
    </w:p>
    <w:p>
      <w:pPr>
        <w:spacing w:before="50" w:after="50"/>
        <w:rPr>
          <w:rFonts w:hint="eastAsia" w:ascii="黑体" w:hAnsi="Tahoma" w:eastAsia="黑体"/>
          <w:color w:val="auto"/>
          <w:sz w:val="22"/>
          <w:szCs w:val="21"/>
          <w:highlight w:val="none"/>
        </w:rPr>
      </w:pPr>
      <w:r>
        <w:rPr>
          <w:rFonts w:hint="eastAsia" w:ascii="黑体" w:hAnsi="Tahoma" w:eastAsia="黑体"/>
          <w:color w:val="auto"/>
          <w:sz w:val="22"/>
          <w:szCs w:val="21"/>
          <w:highlight w:val="none"/>
        </w:rPr>
      </w:r>
      <w:r/>
    </w:p>
    <w:p>
      <w:pPr>
        <w:spacing w:before="50" w:after="50"/>
        <w:rPr>
          <w:rFonts w:hint="eastAsia" w:ascii="黑体" w:eastAsia="黑体"/>
          <w:color w:val="auto"/>
          <w:szCs w:val="21"/>
          <w:highlight w:val="none"/>
        </w:rPr>
      </w:pPr>
      <w:r>
        <w:rPr>
          <w:rFonts w:hint="eastAsia" w:ascii="黑体" w:eastAsia="黑体"/>
          <w:color w:val="auto"/>
          <w:szCs w:val="21"/>
          <w:highlight w:val="none"/>
        </w:rPr>
      </w:r>
      <w:r/>
    </w:p>
    <w:p>
      <w:pPr>
        <w:spacing w:before="50" w:after="50"/>
        <w:rPr>
          <w:rFonts w:hint="eastAsia" w:ascii="黑体" w:eastAsia="黑体"/>
          <w:color w:val="auto"/>
          <w:szCs w:val="21"/>
          <w:highlight w:val="none"/>
        </w:rPr>
      </w:pPr>
      <w:r>
        <w:rPr>
          <w:rFonts w:hint="eastAsia" w:ascii="黑体" w:eastAsia="黑体"/>
          <w:color w:val="auto"/>
          <w:szCs w:val="21"/>
          <w:highlight w:val="none"/>
        </w:rPr>
      </w:r>
      <w:r/>
    </w:p>
    <w:p>
      <w:pPr>
        <w:spacing w:before="50" w:after="50"/>
        <w:rPr>
          <w:rFonts w:hint="eastAsia" w:ascii="黑体" w:eastAsia="黑体"/>
          <w:color w:val="auto"/>
          <w:szCs w:val="21"/>
          <w:highlight w:val="none"/>
        </w:rPr>
      </w:pPr>
      <w:r>
        <w:rPr>
          <w:rFonts w:hint="eastAsia" w:ascii="黑体" w:eastAsia="黑体"/>
          <w:color w:val="auto"/>
          <w:szCs w:val="21"/>
          <w:highlight w:val="none"/>
        </w:rPr>
      </w:r>
      <w:r/>
    </w:p>
    <w:p>
      <w:pPr>
        <w:spacing w:before="50" w:after="50"/>
        <w:rPr>
          <w:rFonts w:hint="eastAsia" w:ascii="黑体" w:eastAsia="黑体"/>
          <w:color w:val="auto"/>
          <w:szCs w:val="21"/>
          <w:highlight w:val="none"/>
        </w:rPr>
      </w:pPr>
      <w:r>
        <w:rPr>
          <w:rFonts w:hint="eastAsia" w:ascii="黑体" w:eastAsia="黑体"/>
          <w:color w:val="auto"/>
          <w:szCs w:val="21"/>
          <w:highlight w:val="none"/>
        </w:rPr>
      </w:r>
      <w:r/>
    </w:p>
    <w:p>
      <w:pPr>
        <w:spacing w:before="50" w:after="50"/>
        <w:rPr>
          <w:rFonts w:hint="eastAsia" w:ascii="黑体" w:eastAsia="黑体"/>
          <w:color w:val="auto"/>
          <w:szCs w:val="21"/>
          <w:highlight w:val="none"/>
        </w:rPr>
      </w:pPr>
      <w:r>
        <w:rPr>
          <w:rFonts w:hint="eastAsia" w:ascii="黑体" w:eastAsia="黑体"/>
          <w:color w:val="auto"/>
          <w:szCs w:val="21"/>
          <w:highlight w:val="none"/>
        </w:rPr>
      </w:r>
      <w:r/>
    </w:p>
    <w:p>
      <w:pPr>
        <w:spacing w:before="50" w:after="50"/>
        <w:rPr>
          <w:rFonts w:ascii="黑体" w:eastAsia="黑体"/>
          <w:color w:val="auto"/>
          <w:szCs w:val="21"/>
          <w:highlight w:val="none"/>
        </w:rPr>
      </w:pPr>
      <w:r>
        <w:rPr>
          <w:rFonts w:ascii="黑体" w:eastAsia="黑体"/>
          <w:color w:val="auto"/>
          <w:szCs w:val="21"/>
          <w:highlight w:val="none"/>
        </w:rPr>
      </w:r>
      <w:r/>
    </w:p>
    <w:p>
      <w:pPr>
        <w:pStyle w:val="929"/>
        <w:rPr>
          <w:color w:val="auto"/>
          <w:highlight w:val="none"/>
          <w:lang w:val="en-US" w:eastAsia="zh-CN"/>
        </w:rPr>
      </w:pPr>
      <w:r>
        <w:rPr>
          <w:color w:val="auto"/>
          <w:highlight w:val="none"/>
          <w:lang w:val="en-US" w:eastAsia="zh-CN"/>
        </w:rPr>
      </w:r>
      <w:r/>
    </w:p>
    <w:p>
      <w:pPr>
        <w:pStyle w:val="929"/>
        <w:rPr>
          <w:rFonts w:hint="eastAsia"/>
          <w:color w:val="auto"/>
          <w:highlight w:val="none"/>
          <w:lang w:val="en-US" w:eastAsia="zh-CN"/>
        </w:rPr>
      </w:pPr>
      <w:r>
        <w:rPr>
          <w:rFonts w:hint="eastAsia"/>
          <w:color w:val="auto"/>
          <w:highlight w:val="none"/>
          <w:lang w:val="en-US" w:eastAsia="zh-CN"/>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both"/>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jc w:val="left"/>
        <w:pageBreakBefore w:val="0"/>
        <w:spacing w:line="360" w:lineRule="auto"/>
        <w:rPr>
          <w:rFonts w:hint="eastAsia" w:ascii="宋体" w:hAnsi="宋体" w:eastAsia="宋体" w:cs="宋体"/>
          <w:sz w:val="32"/>
          <w:szCs w:val="32"/>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、联合体协议（参考格式）</w:t>
      </w:r>
      <w:r/>
    </w:p>
    <w:p>
      <w:pPr>
        <w:keepLines w:val="0"/>
        <w:keepNext w:val="0"/>
        <w:pageBreakBefore w:val="0"/>
        <w:spacing w:before="161" w:line="360" w:lineRule="auto"/>
        <w:widowControl w:val="off"/>
        <w:rPr>
          <w:rFonts w:ascii="宋体" w:hAnsi="宋体"/>
          <w:sz w:val="21"/>
          <w:szCs w:val="21"/>
          <w:highlight w:val="none"/>
        </w:rPr>
      </w:pPr>
      <w:r>
        <w:rPr>
          <w:rFonts w:hint="eastAsia" w:ascii="宋体" w:hAnsi="宋体"/>
          <w:sz w:val="21"/>
          <w:szCs w:val="21"/>
          <w:highlight w:val="none"/>
        </w:rPr>
        <w:t xml:space="preserve">（联合体中各供应商全称）在此达成以下协议：</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、我们</w:t>
      </w:r>
      <w:r>
        <w:rPr>
          <w:rFonts w:hint="eastAsia" w:ascii="宋体" w:hAnsi="宋体"/>
          <w:sz w:val="21"/>
          <w:szCs w:val="21"/>
          <w:highlight w:val="none"/>
          <w:u w:val="single"/>
        </w:rPr>
        <w:t xml:space="preserve"> （供应商1），（供应商2） ，</w:t>
      </w:r>
      <w:r>
        <w:rPr>
          <w:rFonts w:ascii="宋体" w:hAnsi="宋体"/>
          <w:sz w:val="21"/>
          <w:szCs w:val="21"/>
          <w:highlight w:val="none"/>
          <w:u w:val="single"/>
        </w:rPr>
        <w:t xml:space="preserve">……</w:t>
      </w:r>
      <w:r>
        <w:rPr>
          <w:rFonts w:hint="eastAsia" w:ascii="宋体" w:hAnsi="宋体"/>
          <w:sz w:val="21"/>
          <w:szCs w:val="21"/>
          <w:highlight w:val="none"/>
        </w:rPr>
        <w:t xml:space="preserve">自愿组成联合体，参加</w:t>
      </w:r>
      <w:r>
        <w:rPr>
          <w:rFonts w:hint="eastAsia" w:ascii="宋体" w:hAnsi="宋体"/>
          <w:sz w:val="21"/>
          <w:szCs w:val="21"/>
          <w:highlight w:val="none"/>
          <w:lang w:val="en-US" w:eastAsia="zh-CN"/>
        </w:rPr>
        <w:t xml:space="preserve"> </w:t>
      </w:r>
      <w:r>
        <w:rPr>
          <w:rFonts w:hint="eastAsia" w:ascii="宋体" w:hAnsi="宋体"/>
          <w:sz w:val="21"/>
          <w:szCs w:val="21"/>
          <w:highlight w:val="none"/>
          <w:u w:val="single"/>
          <w:lang w:val="en-US" w:eastAsia="zh-CN"/>
        </w:rPr>
        <w:t xml:space="preserve">          （代理公司）</w:t>
      </w:r>
      <w:r>
        <w:rPr>
          <w:rFonts w:hint="eastAsia" w:ascii="宋体" w:hAnsi="宋体"/>
          <w:sz w:val="21"/>
          <w:szCs w:val="21"/>
          <w:highlight w:val="none"/>
        </w:rPr>
        <w:t xml:space="preserve">组织的采购编号为</w:t>
      </w:r>
      <w:r>
        <w:rPr>
          <w:rFonts w:hint="eastAsia" w:ascii="宋体" w:hAnsi="宋体"/>
          <w:sz w:val="21"/>
          <w:szCs w:val="21"/>
          <w:highlight w:val="none"/>
          <w:u w:val="single"/>
        </w:rPr>
        <w:t xml:space="preserve">（编号全称），（项目全称）</w:t>
      </w:r>
      <w:r>
        <w:rPr>
          <w:rFonts w:hint="eastAsia" w:ascii="宋体" w:hAnsi="宋体"/>
          <w:sz w:val="21"/>
          <w:szCs w:val="21"/>
          <w:highlight w:val="none"/>
        </w:rPr>
        <w:t xml:space="preserve">项目（分包号：**）的政府采购活动，我联合体指定</w:t>
      </w:r>
      <w:r>
        <w:rPr>
          <w:rFonts w:hint="eastAsia" w:ascii="宋体" w:hAnsi="宋体"/>
          <w:sz w:val="21"/>
          <w:szCs w:val="21"/>
          <w:highlight w:val="none"/>
          <w:u w:val="single"/>
        </w:rPr>
        <w:t xml:space="preserve">（供应商*）</w:t>
      </w:r>
      <w:r>
        <w:rPr>
          <w:rFonts w:hint="eastAsia" w:ascii="宋体" w:hAnsi="宋体"/>
          <w:sz w:val="21"/>
          <w:szCs w:val="21"/>
          <w:highlight w:val="none"/>
        </w:rPr>
        <w:t xml:space="preserve">为牵头单位（牵头单位必须为联合体成员）。</w:t>
      </w:r>
      <w:r/>
    </w:p>
    <w:p>
      <w:pPr>
        <w:ind w:firstLine="645"/>
        <w:pageBreakBefore w:val="0"/>
        <w:spacing w:line="360" w:lineRule="auto"/>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rPr>
        <w:t xml:space="preserve">、若我们联合中标、成交，（供应商单位</w:t>
      </w:r>
      <w:r>
        <w:rPr>
          <w:rFonts w:ascii="宋体" w:hAnsi="宋体"/>
          <w:sz w:val="21"/>
          <w:szCs w:val="21"/>
          <w:highlight w:val="none"/>
        </w:rPr>
        <w:t xml:space="preserve">1</w:t>
      </w:r>
      <w:r>
        <w:rPr>
          <w:rFonts w:hint="eastAsia" w:ascii="宋体" w:hAnsi="宋体"/>
          <w:sz w:val="21"/>
          <w:szCs w:val="21"/>
          <w:highlight w:val="none"/>
        </w:rPr>
        <w:t xml:space="preserve">全称）实施项目中（工作内容）部分工作，并承担相应的责任。（供应商单位</w:t>
      </w:r>
      <w:r>
        <w:rPr>
          <w:rFonts w:ascii="宋体" w:hAnsi="宋体"/>
          <w:sz w:val="21"/>
          <w:szCs w:val="21"/>
          <w:highlight w:val="none"/>
        </w:rPr>
        <w:t xml:space="preserve">2</w:t>
      </w:r>
      <w:r>
        <w:rPr>
          <w:rFonts w:hint="eastAsia" w:ascii="宋体" w:hAnsi="宋体"/>
          <w:sz w:val="21"/>
          <w:szCs w:val="21"/>
          <w:highlight w:val="none"/>
        </w:rPr>
        <w:t xml:space="preserve">全称）实施项目中（工作内容）部分工作，并承担相应的责任……。（注：联合体中各供应商都应明示所承担的工作和相应的责任）。</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、其中</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（小型、微型企业/残疾人福利性单位/监狱企业全称）为</w:t>
      </w:r>
      <w:r>
        <w:rPr>
          <w:rFonts w:ascii="宋体" w:hAnsi="宋体"/>
          <w:sz w:val="21"/>
          <w:szCs w:val="21"/>
          <w:highlight w:val="none"/>
          <w:u w:val="single"/>
        </w:rPr>
        <w:t xml:space="preserve">    </w:t>
      </w:r>
      <w:r>
        <w:rPr>
          <w:rFonts w:hint="eastAsia" w:ascii="宋体" w:hAnsi="宋体"/>
          <w:sz w:val="21"/>
          <w:szCs w:val="21"/>
          <w:highlight w:val="none"/>
        </w:rPr>
        <w:t xml:space="preserve">（小型、微型企业/残疾人福利性单位/监狱企业）企业，且我们约定该公司/单位所承担的合同金额将占本项目合同总金额的</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w:t>
      </w:r>
      <w:r/>
    </w:p>
    <w:p>
      <w:pPr>
        <w:ind w:firstLine="645"/>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pageBreakBefore w:val="0"/>
        <w:spacing w:line="360" w:lineRule="auto"/>
        <w:rPr>
          <w:rFonts w:ascii="宋体" w:hAnsi="宋体"/>
          <w:sz w:val="21"/>
          <w:szCs w:val="21"/>
          <w:highlight w:val="none"/>
        </w:rPr>
      </w:pPr>
      <w:r>
        <w:rPr>
          <w:rFonts w:hint="eastAsia" w:ascii="宋体" w:hAnsi="宋体"/>
          <w:sz w:val="21"/>
          <w:szCs w:val="21"/>
          <w:highlight w:val="none"/>
        </w:rPr>
        <w:t xml:space="preserve">备注：本招标文件中要求加盖CA电子签章的地方，仅需加盖牵头单位的CA电子签章。</w:t>
      </w:r>
      <w:r/>
    </w:p>
    <w:p>
      <w:pPr>
        <w:ind w:firstLine="645"/>
        <w:pageBreakBefore w:val="0"/>
        <w:spacing w:line="360" w:lineRule="auto"/>
        <w:rPr>
          <w:rFonts w:hint="eastAsia"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p>
    <w:p>
      <w:pPr>
        <w:ind w:firstLine="645"/>
        <w:jc w:val="right"/>
        <w:pageBreakBefore w:val="0"/>
        <w:spacing w:line="360" w:lineRule="auto"/>
        <w:rPr>
          <w:rFonts w:hint="eastAsia" w:ascii="宋体" w:hAnsi="宋体"/>
          <w:sz w:val="21"/>
          <w:szCs w:val="21"/>
          <w:highlight w:val="none"/>
        </w:rPr>
      </w:pPr>
      <w:r>
        <w:rPr>
          <w:rFonts w:hint="eastAsia" w:ascii="宋体" w:hAnsi="宋体"/>
          <w:sz w:val="21"/>
          <w:szCs w:val="21"/>
          <w:highlight w:val="none"/>
        </w:rPr>
      </w:r>
      <w:r/>
    </w:p>
    <w:p>
      <w:pPr>
        <w:ind w:firstLine="645"/>
        <w:jc w:val="center"/>
        <w:pageBreakBefore w:val="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联合体中各供应商全称（公章）：</w:t>
      </w:r>
      <w:r>
        <w:rPr>
          <w:rFonts w:ascii="宋体" w:hAnsi="宋体"/>
          <w:sz w:val="21"/>
          <w:szCs w:val="21"/>
          <w:highlight w:val="none"/>
        </w:rPr>
        <w:t xml:space="preserve">     </w:t>
      </w:r>
      <w:r/>
    </w:p>
    <w:p>
      <w:pPr>
        <w:jc w:val="left"/>
        <w:spacing w:line="360" w:lineRule="auto"/>
        <w:rPr>
          <w:rFonts w:hint="eastAsia" w:ascii="宋体" w:hAnsi="宋体"/>
          <w:b/>
          <w:bCs/>
          <w:color w:val="auto"/>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日期：</w:t>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clear="all"/>
      </w:r>
      <w:r/>
    </w:p>
    <w:p>
      <w:pPr>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before="161" w:after="161"/>
        <w:widowControl w:val="off"/>
        <w:rPr>
          <w:rFonts w:hint="eastAsia" w:ascii="宋体" w:hAnsi="宋体"/>
          <w:b/>
          <w:sz w:val="32"/>
          <w:szCs w:val="32"/>
          <w:highlight w:val="none"/>
        </w:rPr>
      </w:pPr>
      <w:r>
        <w:rPr>
          <w:rFonts w:hint="eastAsia" w:ascii="宋体" w:hAnsi="宋体" w:eastAsia="宋体" w:cs="宋体"/>
          <w:b/>
          <w:bCs/>
          <w:sz w:val="24"/>
          <w:szCs w:val="24"/>
          <w:highlight w:val="none"/>
        </w:rPr>
        <w:t xml:space="preserve">符合性审查响应对照表</w:t>
      </w:r>
      <w:r/>
    </w:p>
    <w:tbl>
      <w:tblPr>
        <w:tblStyle w:val="923"/>
        <w:tblW w:w="8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jc w:val="center"/>
          <w:trHeight w:val="876"/>
        </w:trPr>
        <w:tc>
          <w:tcPr>
            <w:tcW w:w="840"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4993"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p>
        </w:tc>
        <w:tc>
          <w:tcPr>
            <w:tcW w:w="1794"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c>
          <w:tcPr>
            <w:tcW w:w="1186"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1</w:t>
            </w:r>
            <w:r/>
          </w:p>
        </w:tc>
        <w:tc>
          <w:tcPr>
            <w:tcW w:w="4993" w:type="dxa"/>
            <w:vAlign w:val="center"/>
            <w:textDirection w:val="lrTb"/>
            <w:noWrap w:val="false"/>
          </w:tcPr>
          <w:p>
            <w:pPr>
              <w:spacing w:line="0" w:lineRule="atLeast"/>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794" w:type="dxa"/>
            <w:vAlign w:val="center"/>
            <w:textDirection w:val="lrTb"/>
            <w:noWrap w:val="false"/>
          </w:tcPr>
          <w:p>
            <w:pPr>
              <w:rPr>
                <w:rFonts w:ascii="宋体" w:hAnsi="宋体"/>
                <w:b/>
                <w:szCs w:val="21"/>
                <w:highlight w:val="none"/>
              </w:rPr>
            </w:pPr>
            <w:r>
              <w:rPr>
                <w:rFonts w:ascii="宋体" w:hAnsi="宋体"/>
                <w:b/>
                <w:szCs w:val="21"/>
                <w:highlight w:val="none"/>
              </w:rPr>
            </w:r>
            <w:r/>
          </w:p>
        </w:tc>
        <w:tc>
          <w:tcPr>
            <w:tcW w:w="1186"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2</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3</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4</w:t>
            </w:r>
            <w:r/>
          </w:p>
        </w:tc>
        <w:tc>
          <w:tcPr>
            <w:tcW w:w="4993" w:type="dxa"/>
            <w:vAlign w:val="center"/>
            <w:textDirection w:val="lrTb"/>
            <w:noWrap w:val="false"/>
          </w:tcPr>
          <w:p>
            <w:pPr>
              <w:spacing w:line="0" w:lineRule="atLeast"/>
              <w:rPr>
                <w:rFonts w:hint="eastAsia" w:ascii="宋体" w:hAnsi="宋体"/>
                <w:iCs/>
                <w:szCs w:val="21"/>
                <w:highlight w:val="none"/>
              </w:rPr>
            </w:pPr>
            <w:r>
              <w:rPr>
                <w:rFonts w:hint="eastAsia" w:ascii="宋体" w:hAnsi="宋体"/>
                <w:iCs/>
                <w:szCs w:val="21"/>
                <w:highlight w:val="none"/>
              </w:rPr>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623"/>
        </w:trPr>
        <w:tc>
          <w:tcPr>
            <w:tcW w:w="840" w:type="dxa"/>
            <w:vAlign w:val="center"/>
            <w:textDirection w:val="lrTb"/>
            <w:noWrap w:val="false"/>
          </w:tcPr>
          <w:p>
            <w:pPr>
              <w:jc w:val="center"/>
              <w:rPr>
                <w:rFonts w:ascii="宋体" w:hAnsi="宋体"/>
                <w:b w:val="0"/>
                <w:bCs/>
                <w:szCs w:val="21"/>
                <w:highlight w:val="none"/>
              </w:rPr>
            </w:pPr>
            <w:r>
              <w:rPr>
                <w:rFonts w:hint="eastAsia" w:ascii="宋体" w:hAnsi="宋体"/>
                <w:b w:val="0"/>
                <w:bCs/>
                <w:szCs w:val="21"/>
                <w:highlight w:val="none"/>
              </w:rPr>
              <w:t xml:space="preserve">5</w:t>
            </w:r>
            <w:r/>
          </w:p>
        </w:tc>
        <w:tc>
          <w:tcPr>
            <w:tcW w:w="4993" w:type="dxa"/>
            <w:vAlign w:val="center"/>
            <w:textDirection w:val="lrTb"/>
            <w:noWrap w:val="false"/>
          </w:tcPr>
          <w:p>
            <w:pPr>
              <w:spacing w:line="0" w:lineRule="atLeast"/>
              <w:rPr>
                <w:rFonts w:ascii="宋体" w:hAnsi="宋体"/>
                <w:iCs/>
                <w:szCs w:val="21"/>
                <w:highlight w:val="none"/>
              </w:rPr>
            </w:pPr>
            <w:r>
              <w:rPr>
                <w:rFonts w:ascii="宋体" w:hAnsi="宋体"/>
                <w:iCs/>
                <w:szCs w:val="21"/>
                <w:highlight w:val="none"/>
              </w:rPr>
              <w:t xml:space="preserve">……</w:t>
            </w:r>
            <w:r/>
          </w:p>
        </w:tc>
        <w:tc>
          <w:tcPr>
            <w:tcW w:w="1794" w:type="dxa"/>
            <w:vAlign w:val="center"/>
            <w:textDirection w:val="lrTb"/>
            <w:noWrap w:val="false"/>
          </w:tcPr>
          <w:p>
            <w:pPr>
              <w:rPr>
                <w:rFonts w:ascii="宋体" w:hAnsi="宋体"/>
                <w:szCs w:val="21"/>
                <w:highlight w:val="none"/>
              </w:rPr>
            </w:pPr>
            <w:r>
              <w:rPr>
                <w:rFonts w:ascii="宋体" w:hAnsi="宋体"/>
                <w:szCs w:val="21"/>
                <w:highlight w:val="none"/>
              </w:rPr>
            </w:r>
            <w:r/>
          </w:p>
        </w:tc>
        <w:tc>
          <w:tcPr>
            <w:tcW w:w="1186" w:type="dxa"/>
            <w:vAlign w:val="center"/>
            <w:textDirection w:val="lrTb"/>
            <w:noWrap w:val="false"/>
          </w:tcPr>
          <w:p>
            <w:pPr>
              <w:rPr>
                <w:rFonts w:ascii="宋体" w:hAnsi="宋体"/>
                <w:szCs w:val="21"/>
                <w:highlight w:val="none"/>
              </w:rPr>
            </w:pPr>
            <w:r>
              <w:rPr>
                <w:rFonts w:ascii="宋体" w:hAnsi="宋体"/>
                <w:szCs w:val="21"/>
                <w:highlight w:val="none"/>
              </w:rPr>
            </w:r>
            <w:r/>
          </w:p>
        </w:tc>
      </w:tr>
    </w:tbl>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1.投标人必须对采购需求中的实质性要求（</w:t>
      </w:r>
      <w:r>
        <w:rPr>
          <w:rFonts w:hint="eastAsia" w:ascii="宋体" w:hAnsi="宋体" w:eastAsia="宋体" w:cs="Times New Roman"/>
          <w:i/>
          <w:iCs/>
          <w:strike w:val="0"/>
          <w:color w:val="auto"/>
          <w:sz w:val="21"/>
          <w:szCs w:val="21"/>
          <w:highlight w:val="none"/>
          <w:u w:val="single"/>
        </w:rPr>
        <w:t xml:space="preserve">斜体且有下划线部分</w:t>
      </w:r>
      <w:r>
        <w:rPr>
          <w:rFonts w:hint="eastAsia" w:ascii="宋体" w:hAnsi="宋体" w:eastAsia="宋体" w:cs="Times New Roman"/>
          <w:color w:val="auto"/>
          <w:sz w:val="21"/>
          <w:szCs w:val="21"/>
          <w:highlight w:val="none"/>
        </w:rPr>
        <w:t xml:space="preserve">）逐条做出明确响应。</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2.如果招标文件要求提供证明材料，投标人必须将证明材料列于该表之下。</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auto"/>
          <w:sz w:val="21"/>
          <w:szCs w:val="21"/>
          <w:highlight w:val="none"/>
          <w:lang w:val="en-US" w:eastAsia="zh-CN"/>
        </w:rPr>
        <w:t xml:space="preserve">项目</w:t>
      </w:r>
      <w:r>
        <w:rPr>
          <w:rFonts w:hint="eastAsia" w:ascii="宋体" w:hAnsi="宋体" w:eastAsia="宋体" w:cs="Times New Roman"/>
          <w:color w:val="auto"/>
          <w:sz w:val="21"/>
          <w:szCs w:val="21"/>
          <w:highlight w:val="none"/>
        </w:rPr>
        <w:t xml:space="preserve">作无效投标处理。</w:t>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numPr>
          <w:ilvl w:val="0"/>
          <w:numId w:val="0"/>
        </w:numPr>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十四、</w:t>
      </w:r>
      <w:r>
        <w:rPr>
          <w:rFonts w:hint="eastAsia" w:ascii="宋体" w:hAnsi="宋体" w:eastAsia="宋体" w:cs="宋体"/>
          <w:b/>
          <w:bCs/>
          <w:sz w:val="24"/>
          <w:szCs w:val="24"/>
          <w:highlight w:val="none"/>
        </w:rPr>
        <w:t xml:space="preserve">投标分项报价表</w:t>
      </w:r>
      <w:r/>
    </w:p>
    <w:p>
      <w:pPr>
        <w:pStyle w:val="920"/>
        <w:numPr>
          <w:ilvl w:val="0"/>
          <w:numId w:val="0"/>
        </w:numPr>
        <w:jc w:val="center"/>
        <w:rPr>
          <w:rFonts w:hint="eastAsia"/>
          <w:highlight w:val="none"/>
        </w:rPr>
      </w:pPr>
      <w:r>
        <w:rPr>
          <w:rFonts w:hint="eastAsia" w:ascii="宋体" w:hAnsi="宋体" w:eastAsia="宋体" w:cs="宋体"/>
          <w:b/>
          <w:bCs/>
          <w:sz w:val="24"/>
          <w:szCs w:val="24"/>
          <w:highlight w:val="none"/>
        </w:rPr>
        <w:t xml:space="preserve">投标分项报价表</w:t>
      </w:r>
      <w:r/>
    </w:p>
    <w:tbl>
      <w:tblPr>
        <w:tblStyle w:val="923"/>
        <w:tblpPr w:horzAnchor="page" w:tblpX="1365" w:vertAnchor="text" w:tblpY="297" w:leftFromText="180" w:topFromText="0" w:rightFromText="180" w:bottomFromText="0"/>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10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产品</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型号</w:t>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w:t>
            </w:r>
            <w:r/>
          </w:p>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3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80"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106" w:type="dxa"/>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24"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08"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6"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732"/>
        </w:trPr>
        <w:tc>
          <w:tcPr>
            <w:gridSpan w:val="9"/>
            <w:tcW w:w="8297" w:type="dxa"/>
            <w:vAlign w:val="center"/>
            <w:textDirection w:val="lrTb"/>
            <w:noWrap w:val="false"/>
          </w:tcPr>
          <w:p>
            <w:pPr>
              <w:jc w:val="center"/>
              <w:spacing w:line="0" w:lineRule="atLeas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投标总报价（人民币：元）</w:t>
            </w:r>
            <w:r/>
          </w:p>
        </w:tc>
        <w:tc>
          <w:tcPr>
            <w:tcW w:w="966" w:type="dxa"/>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firstLine="480"/>
        <w:rPr>
          <w:rFonts w:ascii="宋体" w:hAnsi="宋体"/>
          <w:b/>
          <w:sz w:val="24"/>
          <w:szCs w:val="24"/>
          <w:highlight w:val="none"/>
        </w:rPr>
      </w:pPr>
      <w:r>
        <w:rPr>
          <w:rFonts w:hint="eastAsia" w:ascii="宋体" w:hAnsi="宋体"/>
          <w:sz w:val="24"/>
          <w:szCs w:val="24"/>
          <w:highlight w:val="none"/>
        </w:rPr>
        <w:t xml:space="preserve">                  </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备注：</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2.“投标分项报价表”中“投标总报价”数额应当与“开标一览表”中“投标总报价”数额一致。</w:t>
      </w: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2"/>
          <w:highlight w:val="none"/>
        </w:rPr>
        <w:t xml:space="preserve"> </w:t>
      </w:r>
      <w:r/>
    </w:p>
    <w:p>
      <w:pPr>
        <w:spacing w:line="460" w:lineRule="exact"/>
        <w:rPr>
          <w:rFonts w:ascii="宋体" w:hAnsi="宋体"/>
          <w:bCs/>
          <w:color w:val="auto"/>
          <w:sz w:val="24"/>
          <w:highlight w:val="none"/>
        </w:rPr>
      </w:pPr>
      <w:r>
        <w:rPr>
          <w:rFonts w:ascii="宋体" w:hAnsi="宋体"/>
          <w:bCs/>
          <w:color w:val="auto"/>
          <w:sz w:val="24"/>
          <w:highlight w:val="none"/>
        </w:rPr>
      </w:r>
      <w:r/>
    </w:p>
    <w:p>
      <w:pPr>
        <w:pStyle w:val="929"/>
        <w:rPr>
          <w:rFonts w:hint="eastAsia"/>
          <w:color w:val="auto"/>
          <w:highlight w:val="none"/>
        </w:rPr>
      </w:pPr>
      <w:r>
        <w:rPr>
          <w:rFonts w:hint="eastAsia"/>
          <w:color w:val="auto"/>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19"/>
        <w:jc w:val="both"/>
        <w:keepLines/>
        <w:keepNext/>
        <w:pageBreakBefore w:val="0"/>
        <w:spacing w:before="0" w:after="0" w:line="360" w:lineRule="auto"/>
        <w:widowControl w:val="off"/>
        <w:rPr>
          <w:rFonts w:hint="eastAsia" w:ascii="宋体" w:hAnsi="宋体" w:eastAsia="宋体"/>
          <w:color w:val="auto"/>
          <w:sz w:val="13"/>
          <w:szCs w:val="13"/>
          <w:highlight w:val="none"/>
        </w:rPr>
      </w:pPr>
      <w:r>
        <w:rPr>
          <w:rFonts w:hint="eastAsia" w:ascii="宋体" w:hAnsi="宋体" w:eastAsia="宋体"/>
          <w:color w:val="auto"/>
          <w:sz w:val="13"/>
          <w:szCs w:val="13"/>
          <w:highlight w:val="none"/>
        </w:rPr>
      </w:r>
      <w:r/>
    </w:p>
    <w:p>
      <w:pPr>
        <w:rPr>
          <w:rFonts w:hint="eastAsia" w:ascii="宋体" w:hAnsi="宋体" w:eastAsia="宋体"/>
          <w:color w:val="auto"/>
          <w:sz w:val="32"/>
          <w:highlight w:val="none"/>
        </w:rPr>
      </w:pPr>
      <w:r>
        <w:rPr>
          <w:rFonts w:hint="eastAsia" w:ascii="宋体" w:hAnsi="宋体" w:eastAsia="宋体"/>
          <w:color w:val="auto"/>
          <w:sz w:val="32"/>
          <w:highlight w:val="none"/>
        </w:rPr>
        <w:br w:type="page" w:clear="all"/>
      </w:r>
      <w:r/>
    </w:p>
    <w:p>
      <w:pPr>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、技术要求响应及偏离表</w:t>
      </w:r>
      <w:r/>
    </w:p>
    <w:p>
      <w:pPr>
        <w:jc w:val="center"/>
        <w:keepLines w:val="0"/>
        <w:keepNext w:val="0"/>
        <w:pageBreakBefore w:val="0"/>
        <w:spacing w:before="161"/>
        <w:widowControl w:val="off"/>
        <w:rPr>
          <w:rFonts w:hint="eastAsia" w:ascii="宋体" w:hAnsi="宋体" w:eastAsia="宋体" w:cs="宋体"/>
          <w:b/>
          <w:bCs/>
          <w:sz w:val="24"/>
          <w:szCs w:val="24"/>
          <w:highlight w:val="none"/>
        </w:rPr>
      </w:pPr>
      <w:r/>
      <w:bookmarkStart w:id="72" w:name="_Toc12761"/>
      <w:r>
        <w:rPr>
          <w:rFonts w:hint="eastAsia" w:ascii="宋体" w:hAnsi="宋体" w:eastAsia="宋体" w:cs="宋体"/>
          <w:b/>
          <w:bCs/>
          <w:sz w:val="24"/>
          <w:szCs w:val="24"/>
          <w:highlight w:val="none"/>
        </w:rPr>
        <w:t xml:space="preserve">技术要求响应及偏离表</w:t>
      </w:r>
      <w:bookmarkEnd w:id="72"/>
      <w:r/>
      <w:r/>
    </w:p>
    <w:p>
      <w:pPr>
        <w:rPr>
          <w:highlight w:val="none"/>
        </w:rPr>
      </w:pPr>
      <w:r>
        <w:rPr>
          <w:highlight w:val="none"/>
        </w:rPr>
      </w:r>
      <w:r/>
    </w:p>
    <w:tbl>
      <w:tblPr>
        <w:tblStyle w:val="923"/>
        <w:tblW w:w="86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2687"/>
        <w:gridCol w:w="2687"/>
        <w:gridCol w:w="1232"/>
        <w:gridCol w:w="1105"/>
      </w:tblGrid>
      <w:tr>
        <w:trPr>
          <w:cantSplit/>
          <w:trHeight w:val="642"/>
        </w:trPr>
        <w:tc>
          <w:tcPr>
            <w:tcW w:w="927" w:type="dxa"/>
            <w:vAlign w:val="center"/>
            <w:textDirection w:val="lrTb"/>
            <w:noWrap w:val="false"/>
          </w:tcPr>
          <w:p>
            <w:pPr>
              <w:jc w:val="center"/>
              <w:rPr>
                <w:rFonts w:ascii="宋体" w:hAnsi="宋体"/>
                <w:color w:val="auto"/>
                <w:sz w:val="21"/>
                <w:szCs w:val="21"/>
                <w:highlight w:val="none"/>
              </w:rPr>
            </w:pPr>
            <w:r>
              <w:rPr>
                <w:rFonts w:hint="eastAsia" w:ascii="宋体" w:hAnsi="宋体"/>
                <w:color w:val="auto"/>
                <w:sz w:val="21"/>
                <w:szCs w:val="21"/>
                <w:highlight w:val="none"/>
              </w:rPr>
              <w:t xml:space="preserve">序号</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招标文件要求</w:t>
            </w:r>
            <w:r/>
          </w:p>
        </w:tc>
        <w:tc>
          <w:tcPr>
            <w:tcW w:w="2687"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投标响应情况</w:t>
            </w:r>
            <w:r/>
          </w:p>
        </w:tc>
        <w:tc>
          <w:tcPr>
            <w:tcW w:w="1232"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超出、符合或偏离</w:t>
            </w:r>
            <w:r/>
          </w:p>
        </w:tc>
        <w:tc>
          <w:tcPr>
            <w:tcW w:w="1105" w:type="dxa"/>
            <w:vAlign w:val="center"/>
            <w:textDirection w:val="lrTb"/>
            <w:noWrap w:val="false"/>
          </w:tcPr>
          <w:p>
            <w:pPr>
              <w:jc w:val="center"/>
              <w:pageBreakBefore w:val="0"/>
              <w:spacing w:line="360" w:lineRule="auto"/>
              <w:rPr>
                <w:rFonts w:hint="eastAsia" w:ascii="宋体" w:hAnsi="宋体"/>
                <w:sz w:val="21"/>
                <w:szCs w:val="21"/>
                <w:highlight w:val="none"/>
              </w:rPr>
            </w:pPr>
            <w:r>
              <w:rPr>
                <w:rFonts w:hint="eastAsia" w:ascii="宋体" w:hAnsi="宋体"/>
                <w:sz w:val="21"/>
                <w:szCs w:val="21"/>
                <w:highlight w:val="none"/>
              </w:rPr>
              <w:t xml:space="preserve">证明</w:t>
            </w:r>
            <w:r/>
          </w:p>
          <w:p>
            <w:pPr>
              <w:jc w:val="center"/>
              <w:pageBreakBefore w:val="0"/>
              <w:spacing w:line="360" w:lineRule="auto"/>
              <w:rPr>
                <w:rFonts w:ascii="宋体" w:hAnsi="宋体"/>
                <w:color w:val="auto"/>
                <w:sz w:val="21"/>
                <w:szCs w:val="21"/>
                <w:highlight w:val="none"/>
              </w:rPr>
            </w:pPr>
            <w:r>
              <w:rPr>
                <w:rFonts w:hint="eastAsia" w:ascii="宋体" w:hAnsi="宋体"/>
                <w:sz w:val="21"/>
                <w:szCs w:val="21"/>
                <w:highlight w:val="none"/>
              </w:rPr>
              <w:t xml:space="preserve">材料</w:t>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54"/>
        </w:trPr>
        <w:tc>
          <w:tcPr>
            <w:tcW w:w="92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687"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3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05"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注：行数不够，可自行添加</w:t>
      </w:r>
      <w:r>
        <w:rPr>
          <w:rFonts w:hint="eastAsia" w:ascii="宋体" w:hAnsi="宋体"/>
          <w:color w:val="auto"/>
          <w:sz w:val="21"/>
          <w:szCs w:val="21"/>
          <w:highlight w:val="none"/>
          <w:lang w:eastAsia="zh-CN"/>
        </w:rPr>
        <w:t xml:space="preserve">；</w:t>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500" w:lineRule="exact"/>
        <w:rPr>
          <w:rFonts w:ascii="宋体" w:hAnsi="宋体" w:cs="宋体"/>
          <w:b/>
          <w:bCs/>
          <w:color w:val="auto"/>
          <w:szCs w:val="21"/>
          <w:highlight w:val="none"/>
        </w:rPr>
      </w:pPr>
      <w:r>
        <w:rPr>
          <w:rFonts w:ascii="宋体" w:hAnsi="宋体" w:cs="宋体"/>
          <w:b/>
          <w:bCs/>
          <w:color w:val="auto"/>
          <w:szCs w:val="21"/>
          <w:highlight w:val="none"/>
        </w:rPr>
      </w:r>
      <w:r/>
    </w:p>
    <w:p>
      <w:pPr>
        <w:pStyle w:val="929"/>
        <w:rPr>
          <w:color w:val="auto"/>
          <w:highlight w:val="none"/>
          <w:lang w:val="en-US" w:eastAsia="zh-CN"/>
        </w:rPr>
      </w:pPr>
      <w:r>
        <w:rPr>
          <w:color w:val="auto"/>
          <w:highlight w:val="none"/>
          <w:lang w:val="en-US" w:eastAsia="zh-CN"/>
        </w:rPr>
      </w:r>
      <w:r/>
    </w:p>
    <w:p>
      <w:pPr>
        <w:jc w:val="left"/>
        <w:keepLines w:val="0"/>
        <w:keepNext w:val="0"/>
        <w:pageBreakBefore w:val="0"/>
        <w:spacing w:line="360" w:lineRule="auto"/>
        <w:widowControl w:val="off"/>
        <w:rPr>
          <w:rFonts w:ascii="宋体" w:hAnsi="宋体" w:cs="宋体"/>
          <w:sz w:val="32"/>
          <w:szCs w:val="32"/>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、商务要求响应及偏离表</w:t>
      </w:r>
      <w:r/>
    </w:p>
    <w:p>
      <w:pPr>
        <w:jc w:val="center"/>
        <w:keepLines w:val="0"/>
        <w:keepNext w:val="0"/>
        <w:pageBreakBefore w:val="0"/>
        <w:spacing w:before="161"/>
        <w:widowControl w:val="off"/>
        <w:rPr>
          <w:rFonts w:hint="eastAsia" w:ascii="宋体" w:hAnsi="宋体" w:eastAsia="宋体" w:cs="宋体"/>
          <w:b/>
          <w:bCs/>
          <w:sz w:val="24"/>
          <w:szCs w:val="24"/>
          <w:highlight w:val="none"/>
        </w:rPr>
      </w:pPr>
      <w:r/>
      <w:bookmarkStart w:id="73" w:name="_Toc15565"/>
      <w:r/>
      <w:bookmarkStart w:id="74" w:name="_Toc11043"/>
      <w:r/>
      <w:bookmarkStart w:id="75" w:name="_Toc14047"/>
      <w:r/>
      <w:bookmarkStart w:id="76" w:name="_Toc113352363"/>
      <w:r/>
      <w:bookmarkStart w:id="77" w:name="_Toc11513"/>
      <w:r>
        <w:rPr>
          <w:rFonts w:hint="eastAsia" w:ascii="宋体" w:hAnsi="宋体" w:eastAsia="宋体" w:cs="宋体"/>
          <w:b/>
          <w:bCs/>
          <w:sz w:val="24"/>
          <w:szCs w:val="24"/>
          <w:highlight w:val="none"/>
        </w:rPr>
        <w:t xml:space="preserve">商务</w:t>
      </w:r>
      <w:r>
        <w:rPr>
          <w:rFonts w:hint="eastAsia" w:ascii="宋体" w:hAnsi="宋体" w:eastAsia="宋体" w:cs="宋体"/>
          <w:b/>
          <w:bCs/>
          <w:sz w:val="24"/>
          <w:szCs w:val="24"/>
          <w:highlight w:val="none"/>
          <w:lang w:val="en-US" w:eastAsia="zh-CN"/>
        </w:rPr>
        <w:t xml:space="preserve">要求</w:t>
      </w:r>
      <w:r>
        <w:rPr>
          <w:rFonts w:hint="eastAsia" w:ascii="宋体" w:hAnsi="宋体" w:eastAsia="宋体" w:cs="宋体"/>
          <w:b/>
          <w:bCs/>
          <w:sz w:val="24"/>
          <w:szCs w:val="24"/>
          <w:highlight w:val="none"/>
        </w:rPr>
        <w:t xml:space="preserve">响应及偏离表</w:t>
      </w:r>
      <w:bookmarkEnd w:id="73"/>
      <w:r/>
      <w:bookmarkEnd w:id="74"/>
      <w:r/>
      <w:bookmarkEnd w:id="75"/>
      <w:r/>
      <w:bookmarkEnd w:id="76"/>
      <w:r/>
      <w:bookmarkEnd w:id="77"/>
      <w:r/>
      <w:r/>
    </w:p>
    <w:p>
      <w:pPr>
        <w:rPr>
          <w:highlight w:val="none"/>
        </w:rPr>
      </w:pPr>
      <w:r>
        <w:rPr>
          <w:highlight w:val="none"/>
        </w:rPr>
      </w:r>
      <w:r/>
    </w:p>
    <w:tbl>
      <w:tblPr>
        <w:tblStyle w:val="9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3015"/>
        <w:gridCol w:w="2852"/>
        <w:gridCol w:w="1308"/>
        <w:gridCol w:w="1173"/>
      </w:tblGrid>
      <w:tr>
        <w:trPr>
          <w:cantSplit/>
          <w:trHeight w:val="640"/>
        </w:trPr>
        <w:tc>
          <w:tcPr>
            <w:tcW w:w="821"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序号</w:t>
            </w:r>
            <w:r/>
          </w:p>
        </w:tc>
        <w:tc>
          <w:tcPr>
            <w:tcW w:w="3015"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招标文件要求</w:t>
            </w:r>
            <w:r/>
          </w:p>
        </w:tc>
        <w:tc>
          <w:tcPr>
            <w:tcW w:w="2852"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投标响应情况</w:t>
            </w:r>
            <w:r/>
          </w:p>
        </w:tc>
        <w:tc>
          <w:tcPr>
            <w:tcW w:w="1308"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超出、符合或偏离</w:t>
            </w:r>
            <w:r/>
          </w:p>
        </w:tc>
        <w:tc>
          <w:tcPr>
            <w:tcW w:w="1173" w:type="dxa"/>
            <w:vAlign w:val="center"/>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证明</w:t>
            </w:r>
            <w:r/>
          </w:p>
          <w:p>
            <w:pPr>
              <w:jc w:val="center"/>
              <w:rPr>
                <w:rFonts w:ascii="宋体" w:hAnsi="宋体" w:cs="宋体"/>
                <w:sz w:val="21"/>
                <w:szCs w:val="21"/>
                <w:highlight w:val="none"/>
              </w:rPr>
            </w:pPr>
            <w:r>
              <w:rPr>
                <w:rFonts w:hint="eastAsia" w:ascii="宋体" w:hAnsi="宋体" w:cs="宋体"/>
                <w:sz w:val="21"/>
                <w:szCs w:val="21"/>
                <w:highlight w:val="none"/>
              </w:rPr>
              <w:t xml:space="preserve">材料</w:t>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cantSplit/>
          <w:trHeight w:val="640"/>
        </w:trPr>
        <w:tc>
          <w:tcPr>
            <w:tcW w:w="821"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3015" w:type="dxa"/>
            <w:vAlign w:val="top"/>
            <w:textDirection w:val="lrTb"/>
            <w:noWrap w:val="false"/>
          </w:tcPr>
          <w:p>
            <w:pPr>
              <w:jc w:val="center"/>
              <w:rPr>
                <w:rFonts w:ascii="宋体" w:hAnsi="宋体" w:cs="宋体"/>
                <w:sz w:val="21"/>
                <w:szCs w:val="21"/>
                <w:highlight w:val="none"/>
              </w:rPr>
            </w:pPr>
            <w:r>
              <w:rPr>
                <w:rFonts w:hint="eastAsia" w:ascii="宋体" w:hAnsi="宋体" w:cs="宋体"/>
                <w:sz w:val="21"/>
                <w:szCs w:val="21"/>
                <w:highlight w:val="none"/>
              </w:rPr>
              <w:t xml:space="preserve">……</w:t>
            </w:r>
            <w:r/>
          </w:p>
        </w:tc>
        <w:tc>
          <w:tcPr>
            <w:tcW w:w="2852"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308"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73" w:type="dxa"/>
            <w:vAlign w:val="top"/>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bl>
    <w:p>
      <w:pPr>
        <w:pStyle w:val="938"/>
        <w:spacing w:before="300" w:after="452" w:line="360" w:lineRule="auto"/>
        <w:widowControl/>
        <w:rPr>
          <w:rStyle w:val="941"/>
          <w:rFonts w:hint="eastAsia" w:ascii="宋体" w:hAnsi="宋体" w:cs="仿宋"/>
          <w:color w:val="auto"/>
          <w:sz w:val="21"/>
          <w:szCs w:val="21"/>
          <w:highlight w:val="none"/>
        </w:rPr>
      </w:pPr>
      <w:r>
        <w:rPr>
          <w:rFonts w:hint="eastAsia" w:ascii="宋体" w:hAnsi="宋体" w:cs="宋体"/>
          <w:sz w:val="21"/>
          <w:szCs w:val="21"/>
          <w:highlight w:val="none"/>
        </w:rPr>
        <w:t xml:space="preserve">注： 行数不够，可自行添加。</w:t>
      </w:r>
      <w:r/>
    </w:p>
    <w:p>
      <w:pPr>
        <w:pStyle w:val="929"/>
        <w:rPr>
          <w:rFonts w:hint="eastAsia"/>
          <w:color w:val="auto"/>
          <w:highlight w:val="none"/>
          <w:lang w:val="en-US" w:eastAsia="zh-CN"/>
        </w:rPr>
      </w:pPr>
      <w:r>
        <w:rPr>
          <w:rFonts w:hint="eastAsia"/>
          <w:color w:val="auto"/>
          <w:highlight w:val="none"/>
          <w:lang w:val="en-US" w:eastAsia="zh-CN"/>
        </w:rPr>
      </w:r>
      <w:r/>
    </w:p>
    <w:p>
      <w:pPr>
        <w:jc w:val="center"/>
        <w:spacing w:line="5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both"/>
        <w:spacing w:after="312" w:line="500" w:lineRule="exact"/>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br w:type="page" w:clear="all"/>
      </w:r>
      <w:r/>
    </w:p>
    <w:p>
      <w:pPr>
        <w:jc w:val="left"/>
        <w:keepLines w:val="0"/>
        <w:keepNext w:val="0"/>
        <w:pageBreakBefore w:val="0"/>
        <w:spacing w:line="360" w:lineRule="auto"/>
        <w:widowControl w:val="off"/>
        <w:rPr>
          <w:rFonts w:hint="eastAsia" w:ascii="宋体" w:hAnsi="宋体"/>
          <w:b w:val="0"/>
          <w:bCs w:val="0"/>
          <w:color w:val="auto"/>
          <w:sz w:val="28"/>
          <w:szCs w:val="28"/>
          <w:highlight w:val="none"/>
        </w:rPr>
      </w:pPr>
      <w:r>
        <w:rPr>
          <w:rFonts w:hint="eastAsia" w:ascii="宋体" w:hAnsi="宋体" w:eastAsia="宋体" w:cs="宋体"/>
          <w:b/>
          <w:bCs/>
          <w:i/>
          <w:iCs/>
          <w:sz w:val="24"/>
          <w:szCs w:val="24"/>
          <w:highlight w:val="none"/>
          <w:u w:val="single"/>
        </w:rPr>
        <w:t xml:space="preserve">十</w:t>
      </w:r>
      <w:r>
        <w:rPr>
          <w:rFonts w:hint="eastAsia" w:ascii="宋体" w:hAnsi="宋体" w:eastAsia="宋体" w:cs="宋体"/>
          <w:b/>
          <w:bCs/>
          <w:i/>
          <w:iCs/>
          <w:sz w:val="24"/>
          <w:szCs w:val="24"/>
          <w:highlight w:val="none"/>
          <w:u w:val="single"/>
          <w:lang w:val="en-US" w:eastAsia="zh-CN"/>
        </w:rPr>
        <w:t xml:space="preserve">七</w:t>
      </w:r>
      <w:r>
        <w:rPr>
          <w:rFonts w:hint="eastAsia" w:ascii="宋体" w:hAnsi="宋体" w:eastAsia="宋体" w:cs="宋体"/>
          <w:b/>
          <w:bCs/>
          <w:i/>
          <w:iCs/>
          <w:sz w:val="24"/>
          <w:szCs w:val="24"/>
          <w:highlight w:val="none"/>
          <w:u w:val="single"/>
        </w:rPr>
        <w:t xml:space="preserve">、开标一览表</w:t>
      </w:r>
      <w:r/>
    </w:p>
    <w:p>
      <w:pPr>
        <w:pStyle w:val="919"/>
        <w:jc w:val="center"/>
        <w:spacing w:line="360" w:lineRule="auto"/>
        <w:rPr>
          <w:rFonts w:hint="eastAsia" w:ascii="宋体" w:hAnsi="宋体" w:eastAsia="宋体" w:cs="宋体"/>
          <w:color w:val="auto"/>
          <w:sz w:val="28"/>
          <w:szCs w:val="28"/>
          <w:highlight w:val="none"/>
        </w:rPr>
      </w:pPr>
      <w:r/>
      <w:bookmarkStart w:id="78" w:name="_Toc3814"/>
      <w:r>
        <w:rPr>
          <w:rFonts w:hint="eastAsia" w:ascii="宋体" w:hAnsi="宋体" w:eastAsia="宋体" w:cs="宋体"/>
          <w:color w:val="auto"/>
          <w:sz w:val="28"/>
          <w:szCs w:val="28"/>
          <w:highlight w:val="none"/>
        </w:rPr>
        <w:t xml:space="preserve">开标一览表</w:t>
      </w:r>
      <w:bookmarkEnd w:id="78"/>
      <w:r/>
      <w:r/>
    </w:p>
    <w:p>
      <w:pP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投标人全称（加盖CA电子签章）：</w:t>
      </w:r>
      <w:r/>
    </w:p>
    <w:p>
      <w:pPr>
        <w:pageBreakBefore w:val="0"/>
        <w:spacing w:line="360" w:lineRule="auto"/>
        <w:rPr>
          <w:sz w:val="24"/>
          <w:szCs w:val="24"/>
          <w:highlight w:val="none"/>
        </w:rPr>
      </w:pPr>
      <w:r>
        <w:rPr>
          <w:rFonts w:hint="eastAsia" w:ascii="宋体" w:hAnsi="宋体"/>
          <w:sz w:val="24"/>
          <w:szCs w:val="24"/>
          <w:highlight w:val="none"/>
        </w:rPr>
        <w:t xml:space="preserve">项目名称：</w:t>
      </w:r>
      <w:r/>
    </w:p>
    <w:p>
      <w:pPr>
        <w:pageBreakBefore w:val="0"/>
        <w:spacing w:line="360" w:lineRule="auto"/>
        <w:rPr>
          <w:rFonts w:ascii="宋体" w:hAnsi="宋体"/>
          <w:sz w:val="24"/>
          <w:szCs w:val="24"/>
          <w:highlight w:val="none"/>
        </w:rPr>
      </w:pPr>
      <w:r>
        <w:rPr>
          <w:rFonts w:hint="eastAsia" w:ascii="宋体" w:hAnsi="宋体"/>
          <w:sz w:val="24"/>
          <w:szCs w:val="24"/>
          <w:highlight w:val="none"/>
        </w:rPr>
        <w:t xml:space="preserve">招标编号：                                   分包号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tbl>
      <w:tblPr>
        <w:tblStyle w:val="92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00"/>
      </w:tblGrid>
      <w:tr>
        <w:trPr>
          <w:cantSplit/>
          <w:trHeight w:val="912"/>
        </w:trPr>
        <w:tc>
          <w:tcPr>
            <w:tcW w:w="8900" w:type="dxa"/>
            <w:vAlign w:val="center"/>
            <w:textDirection w:val="lrTb"/>
            <w:noWrap w:val="false"/>
          </w:tcPr>
          <w:p>
            <w:pPr>
              <w:jc w:val="center"/>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72"/>
        </w:trPr>
        <w:tc>
          <w:tcPr>
            <w:tcW w:w="8900" w:type="dxa"/>
            <w:vAlign w:val="center"/>
            <w:textDirection w:val="lrTb"/>
            <w:noWrap w:val="false"/>
          </w:tcPr>
          <w:p>
            <w:pPr>
              <w:pStyle w:val="963"/>
              <w:ind w:firstLine="0"/>
              <w:pageBreakBefore w:val="0"/>
              <w:spacing w:before="0" w:after="0" w:line="360" w:lineRule="auto"/>
              <w:rPr>
                <w:rFonts w:hint="eastAsia" w:ascii="宋体" w:hAnsi="宋体"/>
                <w:sz w:val="24"/>
                <w:szCs w:val="24"/>
                <w:highlight w:val="none"/>
              </w:rPr>
            </w:pPr>
            <w:r>
              <w:rPr>
                <w:rFonts w:hint="eastAsia" w:ascii="宋体" w:hAnsi="宋体" w:cs="宋体"/>
                <w:sz w:val="24"/>
                <w:szCs w:val="24"/>
                <w:highlight w:val="none"/>
              </w:rPr>
              <w:t xml:space="preserve">小写：                             （人民币：</w:t>
            </w:r>
            <w:r>
              <w:rPr>
                <w:rFonts w:hint="eastAsia" w:ascii="宋体" w:hAnsi="宋体"/>
                <w:sz w:val="24"/>
                <w:szCs w:val="24"/>
                <w:highlight w:val="none"/>
                <w:lang w:val="en-US" w:eastAsia="zh-CN"/>
              </w:rPr>
              <w:t xml:space="preserve">元</w:t>
            </w:r>
            <w:r>
              <w:rPr>
                <w:rFonts w:hint="eastAsia" w:ascii="宋体" w:hAnsi="宋体" w:cs="宋体"/>
                <w:sz w:val="24"/>
                <w:szCs w:val="24"/>
                <w:highlight w:val="none"/>
              </w:rPr>
              <w:t xml:space="preserve">）</w:t>
            </w:r>
            <w:r/>
          </w:p>
        </w:tc>
      </w:tr>
      <w:tr>
        <w:trPr>
          <w:cantSplit/>
          <w:trHeight w:val="784"/>
        </w:trPr>
        <w:tc>
          <w:tcPr>
            <w:tcW w:w="8900" w:type="dxa"/>
            <w:vAlign w:val="center"/>
            <w:textDirection w:val="lrTb"/>
            <w:noWrap w:val="false"/>
          </w:tcPr>
          <w:p>
            <w:pPr>
              <w:pStyle w:val="963"/>
              <w:ind w:firstLine="0"/>
              <w:pageBreakBefore w:val="0"/>
              <w:spacing w:before="0" w:after="0"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大写：                             （人民币：圆）</w:t>
            </w:r>
            <w:r/>
          </w:p>
        </w:tc>
      </w:tr>
    </w:tbl>
    <w:p>
      <w:pPr>
        <w:pageBreakBefore w:val="0"/>
        <w:spacing w:line="360" w:lineRule="auto"/>
        <w:rPr>
          <w:rFonts w:ascii="宋体" w:hAnsi="宋体"/>
          <w:sz w:val="24"/>
          <w:szCs w:val="24"/>
          <w:highlight w:val="none"/>
        </w:rPr>
      </w:pPr>
      <w:r>
        <w:rPr>
          <w:rFonts w:ascii="宋体" w:hAnsi="宋体"/>
          <w:sz w:val="24"/>
          <w:szCs w:val="24"/>
          <w:highlight w:val="none"/>
        </w:rPr>
      </w:r>
      <w:r/>
    </w:p>
    <w:p>
      <w:pPr>
        <w:ind w:firstLine="48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rPr>
          <w:rFonts w:hint="eastAsia" w:ascii="宋体" w:hAnsi="宋体"/>
          <w:sz w:val="24"/>
          <w:szCs w:val="24"/>
          <w:highlight w:val="none"/>
        </w:rPr>
      </w:pPr>
      <w:r>
        <w:rPr>
          <w:rFonts w:hint="eastAsia" w:ascii="宋体" w:hAnsi="宋体"/>
          <w:sz w:val="24"/>
          <w:szCs w:val="24"/>
          <w:highlight w:val="none"/>
        </w:rPr>
        <w:br w:type="page" w:clear="all"/>
      </w:r>
      <w:r/>
    </w:p>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十六、主要标的信息</w:t>
      </w:r>
      <w:r/>
    </w:p>
    <w:p>
      <w:pPr>
        <w:jc w:val="center"/>
        <w:spacing w:before="312" w:line="360" w:lineRule="auto"/>
        <w:rPr>
          <w:rFonts w:ascii="宋体" w:hAnsi="宋体"/>
          <w:b/>
          <w:highlight w:val="none"/>
        </w:rPr>
      </w:pPr>
      <w:r>
        <w:rPr>
          <w:rFonts w:hint="eastAsia" w:ascii="宋体" w:hAnsi="宋体"/>
          <w:b/>
          <w:highlight w:val="none"/>
        </w:rPr>
        <w:t xml:space="preserve">主要标的信息（中标后将公示）</w:t>
      </w:r>
      <w:r/>
    </w:p>
    <w:p>
      <w:pPr>
        <w:spacing w:after="312" w:line="360" w:lineRule="auto"/>
        <w:rPr>
          <w:rFonts w:ascii="宋体" w:hAnsi="宋体"/>
          <w:b/>
          <w:highlight w:val="none"/>
        </w:rPr>
      </w:pPr>
      <w:r>
        <w:rPr>
          <w:rFonts w:hint="eastAsia" w:ascii="宋体" w:hAnsi="宋体"/>
          <w:highlight w:val="none"/>
        </w:rPr>
        <w:t xml:space="preserve">投标人全称：</w:t>
      </w:r>
      <w:r/>
    </w:p>
    <w:tbl>
      <w:tblPr>
        <w:tblStyle w:val="923"/>
        <w:tblW w:w="85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7"/>
        <w:gridCol w:w="4212"/>
      </w:tblGrid>
      <w:tr>
        <w:trPr>
          <w:trHeight w:val="323"/>
        </w:trPr>
        <w:tc>
          <w:tcPr>
            <w:tcW w:w="4347" w:type="dxa"/>
            <w:textDirection w:val="lrTb"/>
            <w:noWrap w:val="false"/>
          </w:tcPr>
          <w:p>
            <w:pPr>
              <w:jc w:val="center"/>
              <w:rPr>
                <w:rFonts w:ascii="宋体" w:hAnsi="宋体" w:cs="宋体"/>
                <w:highlight w:val="none"/>
              </w:rPr>
            </w:pPr>
            <w:r>
              <w:rPr>
                <w:rFonts w:hint="eastAsia" w:ascii="宋体" w:hAnsi="宋体" w:cs="宋体"/>
                <w:highlight w:val="none"/>
              </w:rPr>
              <w:t xml:space="preserve">货物类</w:t>
            </w:r>
            <w:r/>
          </w:p>
        </w:tc>
        <w:tc>
          <w:tcPr>
            <w:tcW w:w="4212" w:type="dxa"/>
            <w:textDirection w:val="lrTb"/>
            <w:noWrap w:val="false"/>
          </w:tcPr>
          <w:p>
            <w:pPr>
              <w:jc w:val="center"/>
              <w:rPr>
                <w:rFonts w:ascii="宋体" w:hAnsi="宋体" w:cs="宋体"/>
                <w:highlight w:val="none"/>
              </w:rPr>
            </w:pPr>
            <w:r>
              <w:rPr>
                <w:rFonts w:hint="eastAsia" w:ascii="宋体" w:hAnsi="宋体" w:cs="宋体"/>
                <w:highlight w:val="none"/>
              </w:rPr>
              <w:t xml:space="preserve">服务类</w:t>
            </w:r>
            <w:r/>
          </w:p>
        </w:tc>
      </w:tr>
      <w:tr>
        <w:trPr>
          <w:trHeight w:val="3843"/>
        </w:trPr>
        <w:tc>
          <w:tcPr>
            <w:tcW w:w="4347"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品牌（如有）：</w:t>
            </w:r>
            <w:r/>
          </w:p>
          <w:p>
            <w:pPr>
              <w:spacing w:line="360" w:lineRule="auto"/>
              <w:rPr>
                <w:rFonts w:ascii="宋体" w:hAnsi="宋体" w:cs="宋体"/>
                <w:highlight w:val="none"/>
              </w:rPr>
            </w:pPr>
            <w:r>
              <w:rPr>
                <w:rFonts w:hint="eastAsia" w:ascii="宋体" w:hAnsi="宋体" w:cs="宋体"/>
                <w:highlight w:val="none"/>
              </w:rPr>
              <w:t xml:space="preserve">规格型号：</w:t>
            </w:r>
            <w:r/>
          </w:p>
          <w:p>
            <w:pPr>
              <w:spacing w:line="360" w:lineRule="auto"/>
              <w:rPr>
                <w:rFonts w:ascii="宋体" w:hAnsi="宋体" w:cs="宋体"/>
                <w:highlight w:val="none"/>
              </w:rPr>
            </w:pPr>
            <w:r>
              <w:rPr>
                <w:rFonts w:hint="eastAsia" w:ascii="宋体" w:hAnsi="宋体" w:cs="宋体"/>
                <w:highlight w:val="none"/>
              </w:rPr>
              <w:t xml:space="preserve">数量：</w:t>
            </w:r>
            <w:r/>
          </w:p>
          <w:p>
            <w:pPr>
              <w:spacing w:line="360" w:lineRule="auto"/>
              <w:rPr>
                <w:rFonts w:ascii="宋体" w:hAnsi="宋体" w:cs="宋体"/>
                <w:highlight w:val="none"/>
              </w:rPr>
            </w:pPr>
            <w:r>
              <w:rPr>
                <w:rFonts w:hint="eastAsia" w:ascii="宋体" w:hAnsi="宋体" w:cs="宋体"/>
                <w:highlight w:val="none"/>
              </w:rPr>
              <w:t xml:space="preserve">单价：</w:t>
            </w:r>
            <w:r/>
          </w:p>
        </w:tc>
        <w:tc>
          <w:tcPr>
            <w:tcW w:w="4212"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pStyle w:val="920"/>
        <w:rPr>
          <w:rFonts w:hint="eastAsia"/>
          <w:highlight w:val="none"/>
        </w:rPr>
      </w:pPr>
      <w:r>
        <w:rPr>
          <w:rFonts w:hint="eastAsia"/>
          <w:highlight w:val="none"/>
        </w:rPr>
      </w:r>
      <w:r/>
    </w:p>
    <w:p>
      <w:pPr>
        <w:jc w:val="center"/>
        <w:spacing w:before="312" w:after="312"/>
        <w:rPr>
          <w:rFonts w:hint="eastAsia"/>
          <w:b/>
          <w:bCs/>
          <w:color w:val="auto"/>
          <w:highlight w:val="none"/>
        </w:rPr>
      </w:pPr>
      <w:r>
        <w:rPr>
          <w:rFonts w:hint="eastAsia"/>
          <w:b/>
          <w:bCs/>
          <w:color w:val="auto"/>
          <w:highlight w:val="none"/>
        </w:rPr>
      </w:r>
      <w:r/>
    </w:p>
    <w:p>
      <w:pPr>
        <w:jc w:val="left"/>
        <w:spacing w:line="360" w:lineRule="auto"/>
        <w:rPr>
          <w:rFonts w:hint="eastAsia"/>
          <w:color w:val="auto"/>
          <w:highlight w:val="none"/>
        </w:rPr>
      </w:pPr>
      <w:r>
        <w:rPr>
          <w:rFonts w:hint="eastAsia"/>
          <w:color w:val="auto"/>
          <w:highlight w:val="none"/>
        </w:rPr>
      </w:r>
      <w:r/>
    </w:p>
    <w:p>
      <w:pPr>
        <w:ind w:firstLine="4620"/>
        <w:spacing w:line="360" w:lineRule="auto"/>
        <w:rPr>
          <w:rFonts w:ascii="宋体" w:hAnsi="宋体"/>
          <w:color w:val="auto"/>
          <w:highlight w:val="none"/>
        </w:rPr>
      </w:pPr>
      <w:r>
        <w:rPr>
          <w:rFonts w:hint="eastAsia"/>
          <w:color w:val="auto"/>
          <w:highlight w:val="none"/>
        </w:rPr>
        <w:t xml:space="preserve">                                  </w:t>
      </w:r>
      <w:r/>
    </w:p>
    <w:p>
      <w:pPr>
        <w:rPr>
          <w:color w:val="auto"/>
          <w:highlight w:val="none"/>
        </w:rPr>
      </w:pPr>
      <w:r>
        <w:rPr>
          <w:color w:val="auto"/>
          <w:highlight w:val="none"/>
        </w:rPr>
      </w:r>
      <w:r/>
    </w:p>
    <w:sectPr>
      <w:headerReference w:type="default" r:id="rId12"/>
      <w:footerReference w:type="default" r:id="rId14"/>
      <w:footnotePr/>
      <w:endnotePr/>
      <w:type w:val="nextPage"/>
      <w:pgSz w:w="11906" w:h="16838" w:orient="portrait"/>
      <w:pgMar w:top="1440" w:right="1800" w:bottom="1440" w:left="1800" w:header="56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alibri">
    <w:panose1 w:val="020F0502020204030204"/>
  </w:font>
  <w:font w:name="微软雅黑">
    <w:panose1 w:val="020B0503020204020204"/>
  </w:font>
  <w:font w:name="方正仿宋_GBK">
    <w:panose1 w:val="020B0503020202020204"/>
  </w:font>
  <w:font w:name="Cambria">
    <w:panose1 w:val="02040503050406030204"/>
  </w:font>
  <w:font w:name="Courier New">
    <w:panose1 w:val="02070309020205020404"/>
  </w:font>
  <w:font w:name="楷体_GB2312">
    <w:panose1 w:val="02010609060101010101"/>
  </w:font>
  <w:font w:name="宋体_GB2312">
    <w:panose1 w:val="02010600030101010101"/>
  </w:font>
  <w:font w:name="仿宋_GB2312">
    <w:panose1 w:val="02010609060101010101"/>
  </w:font>
  <w:font w:name="黑体">
    <w:panose1 w:val="02010609060101010101"/>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51</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rPr>
    </w:pPr>
    <w:r>
      <w:rPr>
        <w:rFonts w:hint="eastAsia"/>
        <w:lang w:eastAsia="zh-CN"/>
      </w:rPr>
      <w:t xml:space="preserve">JSZC-321081-BYGC-G2025-0019</w:t>
    </w:r>
    <w:r>
      <w:rPr>
        <w:rFonts w:hint="eastAsia"/>
      </w:rPr>
      <w:t xml:space="preserve">            </w:t>
    </w:r>
    <w:r>
      <w:rPr>
        <w:rFonts w:hint="eastAsia"/>
        <w:lang w:val="en-US" w:eastAsia="zh-CN"/>
      </w:rPr>
      <w:t xml:space="preserve"> </w:t>
    </w:r>
    <w:r>
      <w:rPr>
        <w:rFonts w:hint="eastAsia"/>
      </w:rPr>
      <w:t xml:space="preserve">    </w:t>
    </w:r>
    <w:r>
      <w:t xml:space="preserve">    </w:t>
    </w:r>
    <w:r>
      <w:rPr>
        <w:rFonts w:hint="eastAsia"/>
        <w:lang w:val="en-US" w:eastAsia="zh-CN"/>
      </w:rPr>
      <w:t xml:space="preserve">       </w:t>
    </w:r>
    <w:r>
      <w:rPr>
        <w:rFonts w:hint="eastAsia"/>
      </w:rPr>
      <w:t xml:space="preserve">            </w:t>
    </w:r>
    <w:r>
      <w:rPr>
        <w:rFonts w:hint="eastAsia"/>
        <w:lang w:eastAsia="zh-CN"/>
      </w:rPr>
      <w:t xml:space="preserve">扬州博远工程咨询有限公司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rPr>
    </w:pPr>
    <w:r>
      <w:rPr>
        <w:rFonts w:hint="eastAsia"/>
        <w:lang w:eastAsia="zh-CN"/>
      </w:rPr>
      <w:t xml:space="preserve">JSZC-321081-BYGC-G2025-0019</w:t>
    </w:r>
    <w:r>
      <w:rPr>
        <w:rFonts w:hint="eastAsia"/>
      </w:rPr>
      <w:t xml:space="preserve">           </w:t>
    </w:r>
    <w:r>
      <w:rPr>
        <w:rFonts w:hint="eastAsia"/>
        <w:lang w:val="en-US" w:eastAsia="zh-CN"/>
      </w:rPr>
      <w:t xml:space="preserve">                                                                          </w:t>
    </w:r>
    <w:r>
      <w:t xml:space="preserve">  </w:t>
    </w:r>
    <w:r>
      <w:rPr>
        <w:rFonts w:hint="eastAsia"/>
        <w:lang w:val="en-US" w:eastAsia="zh-CN"/>
      </w:rPr>
      <w:t xml:space="preserve">       </w:t>
    </w:r>
    <w:r>
      <w:rPr>
        <w:rFonts w:hint="eastAsia"/>
      </w:rPr>
      <w:t xml:space="preserve">            </w:t>
    </w:r>
    <w:r>
      <w:rPr>
        <w:rFonts w:hint="eastAsia"/>
        <w:lang w:eastAsia="zh-CN"/>
      </w:rPr>
      <w:t xml:space="preserve">扬州博远工程咨询有限公司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rPr>
        <w:rFonts w:hint="eastAsia"/>
      </w:rPr>
    </w:pPr>
    <w:r>
      <w:rPr>
        <w:rFonts w:hint="eastAsia"/>
        <w:lang w:eastAsia="zh-CN"/>
      </w:rPr>
      <w:t xml:space="preserve">JSZC-321081-BYGC-G2025-0019</w:t>
    </w:r>
    <w:r>
      <w:rPr>
        <w:rFonts w:hint="eastAsia"/>
      </w:rPr>
      <w:t xml:space="preserve">       </w:t>
    </w:r>
    <w:r>
      <w:rPr>
        <w:rFonts w:hint="eastAsia"/>
        <w:lang w:val="en-US" w:eastAsia="zh-CN"/>
      </w:rPr>
      <w:t xml:space="preserve">                                      </w:t>
    </w:r>
    <w:r>
      <w:rPr>
        <w:rFonts w:hint="eastAsia"/>
        <w:lang w:eastAsia="zh-CN"/>
      </w:rPr>
      <w:t xml:space="preserve">扬州博远工程咨询有限公司</w:t>
    </w:r>
    <w:r>
      <w:rPr>
        <w:rFonts w:hint="eastAsia"/>
        <w:lang w:val="en-US" w:eastAsia="zh-CN"/>
      </w:rPr>
      <w:t xml:space="preserve">            </w:t>
    </w:r>
    <w:r>
      <w:t xml:space="preserve">  </w:t>
    </w:r>
    <w:r>
      <w:rPr>
        <w:rFonts w:hint="eastAsia"/>
        <w:lang w:val="en-US" w:eastAsia="zh-CN"/>
      </w:rP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both"/>
      <w:rPr>
        <w:rFonts w:hint="eastAsia"/>
        <w:lang w:val="en-US" w:eastAsia="zh-CN"/>
      </w:rPr>
    </w:pPr>
    <w:r>
      <w:rPr>
        <w:rFonts w:hint="eastAsia"/>
        <w:lang w:val="en-US" w:eastAsia="zh-CN"/>
      </w:rPr>
    </w:r>
    <w:r/>
  </w:p>
  <w:p>
    <w:pPr>
      <w:pStyle w:val="935"/>
      <w:jc w:val="right"/>
    </w:pPr>
    <w:r>
      <w:rPr>
        <w:rFonts w:hint="eastAsia"/>
        <w:lang w:val="en-US" w:eastAsia="zh-CN"/>
      </w:rPr>
      <w:t xml:space="preserve">JSZC-321081-BYGC-G2025-0019</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sz w:val="16"/>
        <w:szCs w:val="16"/>
      </w:rPr>
      <w:t xml:space="preserve"> </w:t>
    </w:r>
    <w:r>
      <w:rPr>
        <w:rFonts w:hint="eastAsia" w:ascii="宋体" w:hAnsi="宋体"/>
        <w:sz w:val="20"/>
        <w:szCs w:val="20"/>
      </w:rPr>
      <w:t xml:space="preserve">扬州博远工程咨询有限公司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5"/>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1">
    <w:name w:val="Heading 1 Char"/>
    <w:basedOn w:val="922"/>
    <w:link w:val="918"/>
    <w:uiPriority w:val="9"/>
    <w:rPr>
      <w:rFonts w:ascii="Arial" w:hAnsi="Arial" w:eastAsia="Arial" w:cs="Arial"/>
      <w:sz w:val="40"/>
      <w:szCs w:val="40"/>
    </w:rPr>
  </w:style>
  <w:style w:type="character" w:styleId="752">
    <w:name w:val="Heading 2 Char"/>
    <w:basedOn w:val="922"/>
    <w:link w:val="919"/>
    <w:uiPriority w:val="9"/>
    <w:rPr>
      <w:rFonts w:ascii="Arial" w:hAnsi="Arial" w:eastAsia="Arial" w:cs="Arial"/>
      <w:sz w:val="34"/>
    </w:rPr>
  </w:style>
  <w:style w:type="character" w:styleId="753">
    <w:name w:val="Heading 3 Char"/>
    <w:basedOn w:val="922"/>
    <w:link w:val="920"/>
    <w:uiPriority w:val="9"/>
    <w:rPr>
      <w:rFonts w:ascii="Arial" w:hAnsi="Arial" w:eastAsia="Arial" w:cs="Arial"/>
      <w:sz w:val="30"/>
      <w:szCs w:val="30"/>
    </w:rPr>
  </w:style>
  <w:style w:type="character" w:styleId="754">
    <w:name w:val="Heading 4 Char"/>
    <w:basedOn w:val="922"/>
    <w:link w:val="921"/>
    <w:uiPriority w:val="9"/>
    <w:rPr>
      <w:rFonts w:ascii="Arial" w:hAnsi="Arial" w:eastAsia="Arial" w:cs="Arial"/>
      <w:b/>
      <w:bCs/>
      <w:sz w:val="26"/>
      <w:szCs w:val="26"/>
    </w:rPr>
  </w:style>
  <w:style w:type="paragraph" w:styleId="755">
    <w:name w:val="Heading 5"/>
    <w:basedOn w:val="917"/>
    <w:next w:val="917"/>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basedOn w:val="922"/>
    <w:link w:val="755"/>
    <w:uiPriority w:val="9"/>
    <w:rPr>
      <w:rFonts w:ascii="Arial" w:hAnsi="Arial" w:eastAsia="Arial" w:cs="Arial"/>
      <w:b/>
      <w:bCs/>
      <w:sz w:val="24"/>
      <w:szCs w:val="24"/>
    </w:rPr>
  </w:style>
  <w:style w:type="paragraph" w:styleId="757">
    <w:name w:val="Heading 6"/>
    <w:basedOn w:val="917"/>
    <w:next w:val="917"/>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basedOn w:val="922"/>
    <w:link w:val="757"/>
    <w:uiPriority w:val="9"/>
    <w:rPr>
      <w:rFonts w:ascii="Arial" w:hAnsi="Arial" w:eastAsia="Arial" w:cs="Arial"/>
      <w:b/>
      <w:bCs/>
      <w:sz w:val="22"/>
      <w:szCs w:val="22"/>
    </w:rPr>
  </w:style>
  <w:style w:type="paragraph" w:styleId="759">
    <w:name w:val="Heading 7"/>
    <w:basedOn w:val="917"/>
    <w:next w:val="917"/>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basedOn w:val="922"/>
    <w:link w:val="759"/>
    <w:uiPriority w:val="9"/>
    <w:rPr>
      <w:rFonts w:ascii="Arial" w:hAnsi="Arial" w:eastAsia="Arial" w:cs="Arial"/>
      <w:b/>
      <w:bCs/>
      <w:i/>
      <w:iCs/>
      <w:sz w:val="22"/>
      <w:szCs w:val="22"/>
    </w:rPr>
  </w:style>
  <w:style w:type="paragraph" w:styleId="761">
    <w:name w:val="Heading 8"/>
    <w:basedOn w:val="917"/>
    <w:next w:val="917"/>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basedOn w:val="922"/>
    <w:link w:val="761"/>
    <w:uiPriority w:val="9"/>
    <w:rPr>
      <w:rFonts w:ascii="Arial" w:hAnsi="Arial" w:eastAsia="Arial" w:cs="Arial"/>
      <w:i/>
      <w:iCs/>
      <w:sz w:val="22"/>
      <w:szCs w:val="22"/>
    </w:rPr>
  </w:style>
  <w:style w:type="paragraph" w:styleId="763">
    <w:name w:val="Heading 9"/>
    <w:basedOn w:val="917"/>
    <w:next w:val="917"/>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22"/>
    <w:link w:val="763"/>
    <w:uiPriority w:val="9"/>
    <w:rPr>
      <w:rFonts w:ascii="Arial" w:hAnsi="Arial" w:eastAsia="Arial" w:cs="Arial"/>
      <w:i/>
      <w:iCs/>
      <w:sz w:val="21"/>
      <w:szCs w:val="21"/>
    </w:rPr>
  </w:style>
  <w:style w:type="paragraph" w:styleId="765">
    <w:name w:val="Title"/>
    <w:basedOn w:val="917"/>
    <w:next w:val="917"/>
    <w:link w:val="766"/>
    <w:uiPriority w:val="10"/>
    <w:qFormat/>
    <w:pPr>
      <w:contextualSpacing/>
      <w:spacing w:before="300" w:after="200"/>
    </w:pPr>
    <w:rPr>
      <w:sz w:val="48"/>
      <w:szCs w:val="48"/>
    </w:rPr>
  </w:style>
  <w:style w:type="character" w:styleId="766">
    <w:name w:val="Title Char"/>
    <w:basedOn w:val="922"/>
    <w:link w:val="765"/>
    <w:uiPriority w:val="10"/>
    <w:rPr>
      <w:sz w:val="48"/>
      <w:szCs w:val="48"/>
    </w:rPr>
  </w:style>
  <w:style w:type="character" w:styleId="767">
    <w:name w:val="Subtitle Char"/>
    <w:basedOn w:val="922"/>
    <w:link w:val="937"/>
    <w:uiPriority w:val="11"/>
    <w:rPr>
      <w:sz w:val="24"/>
      <w:szCs w:val="24"/>
    </w:rPr>
  </w:style>
  <w:style w:type="paragraph" w:styleId="768">
    <w:name w:val="Quote"/>
    <w:basedOn w:val="917"/>
    <w:next w:val="917"/>
    <w:link w:val="769"/>
    <w:uiPriority w:val="29"/>
    <w:qFormat/>
    <w:pPr>
      <w:ind w:left="720" w:right="720"/>
    </w:pPr>
    <w:rPr>
      <w:i/>
    </w:rPr>
  </w:style>
  <w:style w:type="character" w:styleId="769">
    <w:name w:val="Quote Char"/>
    <w:link w:val="768"/>
    <w:uiPriority w:val="29"/>
    <w:rPr>
      <w:i/>
    </w:rPr>
  </w:style>
  <w:style w:type="paragraph" w:styleId="770">
    <w:name w:val="Intense Quote"/>
    <w:basedOn w:val="917"/>
    <w:next w:val="917"/>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22"/>
    <w:link w:val="935"/>
    <w:uiPriority w:val="99"/>
  </w:style>
  <w:style w:type="character" w:styleId="773">
    <w:name w:val="Footer Char"/>
    <w:basedOn w:val="922"/>
    <w:link w:val="934"/>
    <w:uiPriority w:val="99"/>
  </w:style>
  <w:style w:type="paragraph" w:styleId="774">
    <w:name w:val="Caption"/>
    <w:basedOn w:val="917"/>
    <w:next w:val="917"/>
    <w:uiPriority w:val="35"/>
    <w:semiHidden/>
    <w:unhideWhenUsed/>
    <w:qFormat/>
    <w:pPr>
      <w:spacing w:line="276" w:lineRule="auto"/>
    </w:pPr>
    <w:rPr>
      <w:b/>
      <w:bCs/>
      <w:color w:val="4f81bd" w:themeColor="accent1"/>
      <w:sz w:val="18"/>
      <w:szCs w:val="18"/>
    </w:rPr>
  </w:style>
  <w:style w:type="character" w:styleId="775">
    <w:name w:val="Caption Char"/>
    <w:basedOn w:val="774"/>
    <w:link w:val="934"/>
    <w:uiPriority w:val="99"/>
  </w:style>
  <w:style w:type="table" w:styleId="776">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17"/>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22"/>
    <w:uiPriority w:val="99"/>
    <w:unhideWhenUsed/>
    <w:rPr>
      <w:vertAlign w:val="superscript"/>
    </w:rPr>
  </w:style>
  <w:style w:type="paragraph" w:styleId="904">
    <w:name w:val="endnote text"/>
    <w:basedOn w:val="917"/>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2"/>
    <w:uiPriority w:val="99"/>
    <w:semiHidden/>
    <w:unhideWhenUsed/>
    <w:rPr>
      <w:vertAlign w:val="superscript"/>
    </w:r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24"/>
    <w:uiPriority w:val="0"/>
    <w:qFormat/>
    <w:pPr>
      <w:jc w:val="both"/>
      <w:widowControl w:val="off"/>
    </w:pPr>
    <w:rPr>
      <w:rFonts w:ascii="Times New Roman" w:hAnsi="Times New Roman" w:eastAsia="宋体" w:cs="Times New Roman"/>
      <w:sz w:val="21"/>
      <w:szCs w:val="22"/>
      <w:lang w:val="en-US" w:eastAsia="zh-CN" w:bidi="ar-SA"/>
    </w:rPr>
  </w:style>
  <w:style w:type="paragraph" w:styleId="918">
    <w:name w:val="Heading 1"/>
    <w:basedOn w:val="917"/>
    <w:next w:val="917"/>
    <w:link w:val="943"/>
    <w:uiPriority w:val="9"/>
    <w:qFormat/>
    <w:pPr>
      <w:keepLines/>
      <w:keepNext/>
      <w:spacing w:before="340" w:after="330" w:line="578" w:lineRule="auto"/>
      <w:outlineLvl w:val="0"/>
    </w:pPr>
    <w:rPr>
      <w:b/>
      <w:bCs/>
      <w:sz w:val="44"/>
      <w:szCs w:val="44"/>
    </w:rPr>
  </w:style>
  <w:style w:type="paragraph" w:styleId="919">
    <w:name w:val="Heading 2"/>
    <w:basedOn w:val="917"/>
    <w:next w:val="917"/>
    <w:link w:val="944"/>
    <w:uiPriority w:val="9"/>
    <w:unhideWhenUsed/>
    <w:qFormat/>
    <w:pPr>
      <w:keepLines/>
      <w:keepNext/>
      <w:spacing w:before="260" w:after="260" w:line="416" w:lineRule="auto"/>
      <w:outlineLvl w:val="1"/>
    </w:pPr>
    <w:rPr>
      <w:rFonts w:ascii="等线 Light" w:hAnsi="等线 Light" w:eastAsia="等线 Light"/>
      <w:b/>
      <w:bCs/>
      <w:sz w:val="32"/>
      <w:szCs w:val="32"/>
    </w:rPr>
  </w:style>
  <w:style w:type="paragraph" w:styleId="920">
    <w:name w:val="Heading 3"/>
    <w:basedOn w:val="917"/>
    <w:next w:val="917"/>
    <w:uiPriority w:val="0"/>
    <w:qFormat/>
    <w:pPr>
      <w:keepLines/>
      <w:keepNext/>
      <w:spacing w:before="260" w:after="260" w:line="413" w:lineRule="auto"/>
      <w:outlineLvl w:val="2"/>
    </w:pPr>
    <w:rPr>
      <w:b/>
      <w:sz w:val="32"/>
    </w:rPr>
  </w:style>
  <w:style w:type="paragraph" w:styleId="921">
    <w:name w:val="Heading 4"/>
    <w:basedOn w:val="917"/>
    <w:next w:val="925"/>
    <w:link w:val="946"/>
    <w:uiPriority w:val="0"/>
    <w:qFormat/>
    <w:pPr>
      <w:spacing w:before="280" w:after="290" w:line="377" w:lineRule="auto"/>
      <w:outlineLvl w:val="3"/>
    </w:pPr>
    <w:rPr>
      <w:rFonts w:ascii="Arial" w:hAnsi="Arial" w:eastAsia="黑体"/>
      <w:b/>
      <w:bCs/>
      <w:sz w:val="28"/>
      <w:szCs w:val="28"/>
    </w:rPr>
  </w:style>
  <w:style w:type="character" w:styleId="922" w:default="1">
    <w:name w:val="Default Paragraph Font"/>
    <w:uiPriority w:val="1"/>
    <w:unhideWhenUsed/>
    <w:qFormat/>
  </w:style>
  <w:style w:type="table" w:styleId="923" w:default="1">
    <w:name w:val="Normal Table"/>
    <w:uiPriority w:val="99"/>
    <w:unhideWhenUsed/>
    <w:qFormat/>
    <w:tblPr>
      <w:tblCellMar>
        <w:left w:w="108" w:type="dxa"/>
        <w:top w:w="0" w:type="dxa"/>
        <w:right w:w="108" w:type="dxa"/>
        <w:bottom w:w="0" w:type="dxa"/>
      </w:tblCellMar>
    </w:tblPr>
  </w:style>
  <w:style w:type="paragraph" w:styleId="924">
    <w:name w:val="index 4"/>
    <w:basedOn w:val="917"/>
    <w:next w:val="917"/>
    <w:uiPriority w:val="0"/>
    <w:qFormat/>
    <w:pPr>
      <w:ind w:left="600"/>
    </w:pPr>
  </w:style>
  <w:style w:type="paragraph" w:styleId="925">
    <w:name w:val="Normal Indent"/>
    <w:basedOn w:val="917"/>
    <w:link w:val="945"/>
    <w:uiPriority w:val="0"/>
    <w:unhideWhenUsed/>
    <w:qFormat/>
    <w:pPr>
      <w:ind w:firstLine="420"/>
    </w:pPr>
  </w:style>
  <w:style w:type="paragraph" w:styleId="926">
    <w:name w:val="table of authorities"/>
    <w:basedOn w:val="917"/>
    <w:next w:val="917"/>
    <w:uiPriority w:val="0"/>
    <w:qFormat/>
    <w:pPr>
      <w:ind w:left="420" w:firstLine="200"/>
      <w:spacing w:line="360" w:lineRule="auto"/>
    </w:pPr>
    <w:rPr>
      <w:rFonts w:ascii="Times New Roman" w:hAnsi="Times New Roman"/>
      <w:sz w:val="24"/>
      <w:szCs w:val="24"/>
    </w:rPr>
  </w:style>
  <w:style w:type="paragraph" w:styleId="927">
    <w:name w:val="annotation text"/>
    <w:basedOn w:val="917"/>
    <w:link w:val="947"/>
    <w:uiPriority w:val="0"/>
    <w:qFormat/>
    <w:pPr>
      <w:jc w:val="left"/>
    </w:pPr>
  </w:style>
  <w:style w:type="paragraph" w:styleId="928">
    <w:name w:val="Body Text"/>
    <w:basedOn w:val="917"/>
    <w:link w:val="948"/>
    <w:uiPriority w:val="0"/>
    <w:qFormat/>
    <w:rPr>
      <w:rFonts w:ascii="楷体_GB2312" w:hAnsi="Arial" w:eastAsia="楷体_GB2312"/>
      <w:sz w:val="28"/>
      <w:szCs w:val="28"/>
    </w:rPr>
  </w:style>
  <w:style w:type="paragraph" w:styleId="929">
    <w:name w:val="Body Text Indent"/>
    <w:basedOn w:val="917"/>
    <w:link w:val="949"/>
    <w:uiPriority w:val="99"/>
    <w:unhideWhenUsed/>
    <w:qFormat/>
    <w:pPr>
      <w:ind w:left="420"/>
      <w:spacing w:after="120"/>
    </w:pPr>
  </w:style>
  <w:style w:type="paragraph" w:styleId="930">
    <w:name w:val="Block Text"/>
    <w:basedOn w:val="917"/>
    <w:uiPriority w:val="0"/>
    <w:qFormat/>
    <w:pPr>
      <w:ind w:left="1440" w:right="1440"/>
      <w:spacing w:after="120"/>
    </w:pPr>
  </w:style>
  <w:style w:type="paragraph" w:styleId="931">
    <w:name w:val="Plain Text"/>
    <w:basedOn w:val="917"/>
    <w:link w:val="950"/>
    <w:uiPriority w:val="0"/>
    <w:qFormat/>
    <w:rPr>
      <w:rFonts w:ascii="宋体" w:hAnsi="Courier New"/>
      <w:sz w:val="20"/>
      <w:szCs w:val="21"/>
    </w:rPr>
  </w:style>
  <w:style w:type="paragraph" w:styleId="932">
    <w:name w:val="Date"/>
    <w:basedOn w:val="917"/>
    <w:next w:val="917"/>
    <w:link w:val="951"/>
    <w:uiPriority w:val="99"/>
    <w:unhideWhenUsed/>
    <w:qFormat/>
    <w:pPr>
      <w:ind w:left="100"/>
    </w:pPr>
  </w:style>
  <w:style w:type="paragraph" w:styleId="933">
    <w:name w:val="Balloon Text"/>
    <w:basedOn w:val="917"/>
    <w:link w:val="952"/>
    <w:uiPriority w:val="99"/>
    <w:unhideWhenUsed/>
    <w:qFormat/>
    <w:rPr>
      <w:sz w:val="18"/>
      <w:szCs w:val="18"/>
    </w:rPr>
  </w:style>
  <w:style w:type="paragraph" w:styleId="934">
    <w:name w:val="Footer"/>
    <w:basedOn w:val="917"/>
    <w:link w:val="953"/>
    <w:uiPriority w:val="99"/>
    <w:unhideWhenUsed/>
    <w:qFormat/>
    <w:pPr>
      <w:jc w:val="left"/>
      <w:tabs>
        <w:tab w:val="center" w:pos="4153" w:leader="none"/>
        <w:tab w:val="right" w:pos="8306" w:leader="none"/>
      </w:tabs>
    </w:pPr>
    <w:rPr>
      <w:sz w:val="18"/>
      <w:szCs w:val="18"/>
    </w:rPr>
  </w:style>
  <w:style w:type="paragraph" w:styleId="935">
    <w:name w:val="Header"/>
    <w:basedOn w:val="917"/>
    <w:link w:val="9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36">
    <w:name w:val="toc 1"/>
    <w:basedOn w:val="917"/>
    <w:next w:val="917"/>
    <w:uiPriority w:val="39"/>
    <w:unhideWhenUsed/>
    <w:qFormat/>
  </w:style>
  <w:style w:type="paragraph" w:styleId="937">
    <w:name w:val="Subtitle"/>
    <w:basedOn w:val="917"/>
    <w:next w:val="917"/>
    <w:uiPriority w:val="11"/>
    <w:qFormat/>
    <w:pPr>
      <w:jc w:val="center"/>
      <w:spacing w:before="240" w:after="60" w:line="312" w:lineRule="auto"/>
      <w:outlineLvl w:val="1"/>
    </w:pPr>
    <w:rPr>
      <w:rFonts w:ascii="Cambria" w:hAnsi="Cambria"/>
      <w:b/>
      <w:bCs/>
      <w:sz w:val="32"/>
      <w:szCs w:val="32"/>
    </w:rPr>
  </w:style>
  <w:style w:type="paragraph" w:styleId="938">
    <w:name w:val="Normal (Web)"/>
    <w:basedOn w:val="917"/>
    <w:uiPriority w:val="99"/>
    <w:unhideWhenUsed/>
    <w:qFormat/>
    <w:pPr>
      <w:jc w:val="left"/>
      <w:spacing w:before="100" w:beforeAutospacing="1" w:after="100" w:afterAutospacing="1"/>
      <w:widowControl/>
    </w:pPr>
    <w:rPr>
      <w:rFonts w:ascii="宋体" w:hAnsi="宋体" w:cs="宋体"/>
      <w:sz w:val="24"/>
      <w:szCs w:val="24"/>
    </w:rPr>
  </w:style>
  <w:style w:type="paragraph" w:styleId="939">
    <w:name w:val="Body Text First Indent 2"/>
    <w:basedOn w:val="929"/>
    <w:uiPriority w:val="0"/>
    <w:qFormat/>
    <w:pPr>
      <w:ind w:firstLine="420"/>
    </w:pPr>
  </w:style>
  <w:style w:type="table" w:styleId="940">
    <w:name w:val="Table Grid"/>
    <w:basedOn w:val="9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1">
    <w:name w:val="Strong"/>
    <w:uiPriority w:val="0"/>
    <w:qFormat/>
    <w:rPr>
      <w:b/>
      <w:bCs/>
    </w:rPr>
  </w:style>
  <w:style w:type="character" w:styleId="942">
    <w:name w:val="Hyperlink"/>
    <w:basedOn w:val="922"/>
    <w:uiPriority w:val="99"/>
    <w:semiHidden/>
    <w:unhideWhenUsed/>
    <w:qFormat/>
    <w:rPr>
      <w:color w:val="0000ff"/>
      <w:u w:val="single"/>
    </w:rPr>
  </w:style>
  <w:style w:type="character" w:styleId="943" w:customStyle="1">
    <w:name w:val="标题 1 字符"/>
    <w:link w:val="918"/>
    <w:uiPriority w:val="9"/>
    <w:qFormat/>
    <w:rPr>
      <w:b/>
      <w:bCs/>
      <w:sz w:val="44"/>
      <w:szCs w:val="44"/>
    </w:rPr>
  </w:style>
  <w:style w:type="character" w:styleId="944" w:customStyle="1">
    <w:name w:val="标题 2 字符"/>
    <w:link w:val="919"/>
    <w:uiPriority w:val="9"/>
    <w:semiHidden/>
    <w:qFormat/>
    <w:rPr>
      <w:rFonts w:ascii="等线 Light" w:hAnsi="等线 Light" w:eastAsia="等线 Light" w:cs="Times New Roman"/>
      <w:b/>
      <w:bCs/>
      <w:sz w:val="32"/>
      <w:szCs w:val="32"/>
    </w:rPr>
  </w:style>
  <w:style w:type="character" w:styleId="945" w:customStyle="1">
    <w:name w:val="正文缩进 字符"/>
    <w:link w:val="925"/>
    <w:uiPriority w:val="0"/>
    <w:qFormat/>
  </w:style>
  <w:style w:type="character" w:styleId="946" w:customStyle="1">
    <w:name w:val="标题 4 字符"/>
    <w:link w:val="921"/>
    <w:uiPriority w:val="0"/>
    <w:qFormat/>
    <w:rPr>
      <w:rFonts w:ascii="Arial" w:hAnsi="Arial" w:eastAsia="黑体" w:cs="Times New Roman"/>
      <w:b/>
      <w:bCs/>
      <w:sz w:val="28"/>
      <w:szCs w:val="28"/>
    </w:rPr>
  </w:style>
  <w:style w:type="character" w:styleId="947" w:customStyle="1">
    <w:name w:val="批注文字 字符"/>
    <w:link w:val="927"/>
    <w:uiPriority w:val="0"/>
    <w:qFormat/>
    <w:rPr>
      <w:sz w:val="21"/>
      <w:szCs w:val="22"/>
    </w:rPr>
  </w:style>
  <w:style w:type="character" w:styleId="948" w:customStyle="1">
    <w:name w:val="正文文本 字符"/>
    <w:link w:val="928"/>
    <w:uiPriority w:val="0"/>
    <w:qFormat/>
    <w:rPr>
      <w:rFonts w:ascii="楷体_GB2312" w:hAnsi="Arial" w:eastAsia="楷体_GB2312" w:cs="Times New Roman"/>
      <w:sz w:val="28"/>
      <w:szCs w:val="28"/>
    </w:rPr>
  </w:style>
  <w:style w:type="character" w:styleId="949" w:customStyle="1">
    <w:name w:val="正文文本缩进 Char"/>
    <w:link w:val="929"/>
    <w:uiPriority w:val="99"/>
    <w:qFormat/>
    <w:rPr>
      <w:sz w:val="21"/>
      <w:szCs w:val="22"/>
    </w:rPr>
  </w:style>
  <w:style w:type="character" w:styleId="950" w:customStyle="1">
    <w:name w:val="纯文本 字符"/>
    <w:link w:val="931"/>
    <w:uiPriority w:val="0"/>
    <w:qFormat/>
    <w:rPr>
      <w:rFonts w:ascii="宋体" w:hAnsi="Courier New" w:eastAsia="宋体" w:cs="Times New Roman"/>
      <w:szCs w:val="21"/>
    </w:rPr>
  </w:style>
  <w:style w:type="character" w:styleId="951" w:customStyle="1">
    <w:name w:val="日期 字符"/>
    <w:link w:val="932"/>
    <w:uiPriority w:val="99"/>
    <w:semiHidden/>
    <w:qFormat/>
    <w:rPr>
      <w:sz w:val="21"/>
      <w:szCs w:val="22"/>
    </w:rPr>
  </w:style>
  <w:style w:type="character" w:styleId="952" w:customStyle="1">
    <w:name w:val="批注框文本 字符"/>
    <w:link w:val="933"/>
    <w:uiPriority w:val="99"/>
    <w:semiHidden/>
    <w:qFormat/>
    <w:rPr>
      <w:sz w:val="18"/>
      <w:szCs w:val="18"/>
    </w:rPr>
  </w:style>
  <w:style w:type="character" w:styleId="953" w:customStyle="1">
    <w:name w:val="页脚 字符"/>
    <w:link w:val="934"/>
    <w:uiPriority w:val="99"/>
    <w:qFormat/>
    <w:rPr>
      <w:sz w:val="18"/>
      <w:szCs w:val="18"/>
    </w:rPr>
  </w:style>
  <w:style w:type="character" w:styleId="954" w:customStyle="1">
    <w:name w:val="页眉 字符"/>
    <w:link w:val="935"/>
    <w:uiPriority w:val="99"/>
    <w:qFormat/>
    <w:rPr>
      <w:sz w:val="18"/>
      <w:szCs w:val="18"/>
    </w:rPr>
  </w:style>
  <w:style w:type="paragraph" w:styleId="955" w:customStyle="1">
    <w:name w:val="列表项目符号 21"/>
    <w:basedOn w:val="917"/>
    <w:uiPriority w:val="99"/>
    <w:unhideWhenUsed/>
    <w:qFormat/>
    <w:pPr>
      <w:numPr>
        <w:ilvl w:val="0"/>
        <w:numId w:val="1"/>
      </w:numPr>
    </w:pPr>
  </w:style>
  <w:style w:type="character" w:styleId="956" w:customStyle="1">
    <w:name w:val="NormalCharacter"/>
    <w:uiPriority w:val="0"/>
    <w:semiHidden/>
    <w:qFormat/>
    <w:rPr>
      <w:sz w:val="21"/>
      <w:szCs w:val="22"/>
      <w:lang w:val="en-US" w:eastAsia="zh-CN" w:bidi="ar-SA"/>
    </w:rPr>
  </w:style>
  <w:style w:type="character" w:styleId="957" w:customStyle="1">
    <w:name w:val="列出段落 Char"/>
    <w:link w:val="958"/>
    <w:uiPriority w:val="0"/>
    <w:qFormat/>
    <w:rPr>
      <w:sz w:val="24"/>
      <w:szCs w:val="24"/>
      <w:lang w:eastAsia="en-US" w:bidi="en-US"/>
    </w:rPr>
  </w:style>
  <w:style w:type="paragraph" w:styleId="958" w:customStyle="1">
    <w:name w:val="列出段落1"/>
    <w:basedOn w:val="917"/>
    <w:link w:val="957"/>
    <w:uiPriority w:val="0"/>
    <w:qFormat/>
    <w:pPr>
      <w:contextualSpacing/>
      <w:ind w:left="720"/>
      <w:jc w:val="left"/>
      <w:widowControl/>
    </w:pPr>
    <w:rPr>
      <w:sz w:val="24"/>
      <w:szCs w:val="24"/>
      <w:lang w:eastAsia="en-US" w:bidi="en-US"/>
    </w:rPr>
  </w:style>
  <w:style w:type="character" w:styleId="959" w:customStyle="1">
    <w:name w:val="font61"/>
    <w:uiPriority w:val="0"/>
    <w:qFormat/>
    <w:rPr>
      <w:rFonts w:hint="eastAsia" w:ascii="宋体" w:hAnsi="宋体" w:eastAsia="宋体" w:cs="宋体"/>
      <w:color w:val="000000"/>
      <w:sz w:val="24"/>
      <w:szCs w:val="24"/>
      <w:u w:val="none"/>
    </w:rPr>
  </w:style>
  <w:style w:type="character" w:styleId="960" w:customStyle="1">
    <w:name w:val="font21"/>
    <w:uiPriority w:val="0"/>
    <w:qFormat/>
    <w:rPr>
      <w:rFonts w:hint="default" w:ascii="Times New Roman" w:hAnsi="Times New Roman" w:cs="Times New Roman"/>
      <w:color w:val="000000"/>
      <w:sz w:val="24"/>
      <w:szCs w:val="24"/>
      <w:u w:val="none"/>
    </w:rPr>
  </w:style>
  <w:style w:type="character" w:styleId="961" w:customStyle="1">
    <w:name w:val="font71"/>
    <w:uiPriority w:val="0"/>
    <w:qFormat/>
    <w:rPr>
      <w:rFonts w:hint="eastAsia" w:ascii="宋体" w:hAnsi="宋体" w:eastAsia="宋体" w:cs="宋体"/>
      <w:color w:val="000000"/>
      <w:sz w:val="21"/>
      <w:szCs w:val="21"/>
      <w:u w:val="none"/>
    </w:rPr>
  </w:style>
  <w:style w:type="character" w:styleId="962" w:customStyle="1">
    <w:name w:val="font101"/>
    <w:uiPriority w:val="0"/>
    <w:qFormat/>
    <w:rPr>
      <w:rFonts w:hint="default" w:ascii="Times New Roman" w:hAnsi="Times New Roman" w:cs="Times New Roman"/>
      <w:color w:val="000000"/>
      <w:sz w:val="24"/>
      <w:szCs w:val="24"/>
      <w:u w:val="none"/>
    </w:rPr>
  </w:style>
  <w:style w:type="paragraph" w:styleId="963" w:customStyle="1">
    <w:name w:val="普通正文"/>
    <w:basedOn w:val="917"/>
    <w:uiPriority w:val="0"/>
    <w:qFormat/>
    <w:pPr>
      <w:ind w:firstLine="480"/>
      <w:jc w:val="left"/>
      <w:spacing w:before="120" w:after="120" w:line="360" w:lineRule="auto"/>
    </w:pPr>
    <w:rPr>
      <w:rFonts w:ascii="Arial" w:hAnsi="Arial" w:eastAsia="宋体" w:cs="Times New Roman"/>
      <w:sz w:val="24"/>
      <w:szCs w:val="24"/>
    </w:rPr>
  </w:style>
  <w:style w:type="paragraph" w:styleId="964" w:customStyle="1">
    <w:name w:val="Char"/>
    <w:basedOn w:val="917"/>
    <w:uiPriority w:val="0"/>
    <w:qFormat/>
    <w:pPr>
      <w:ind w:firstLine="200"/>
      <w:tabs>
        <w:tab w:val="left" w:pos="360" w:leader="none"/>
      </w:tabs>
    </w:pPr>
    <w:rPr>
      <w:rFonts w:ascii="Times New Roman" w:hAnsi="Times New Roman" w:eastAsia="宋体" w:cs="Times New Roman"/>
      <w:sz w:val="28"/>
      <w:szCs w:val="30"/>
    </w:rPr>
  </w:style>
  <w:style w:type="paragraph" w:styleId="965" w:customStyle="1">
    <w:name w:val="p0"/>
    <w:basedOn w:val="917"/>
    <w:uiPriority w:val="0"/>
    <w:qFormat/>
    <w:pPr>
      <w:widowControl/>
    </w:pPr>
    <w:rPr>
      <w:rFonts w:ascii="Times New Roman" w:hAnsi="Times New Roman" w:eastAsia="宋体" w:cs="Times New Roman"/>
      <w:szCs w:val="21"/>
    </w:rPr>
  </w:style>
  <w:style w:type="character" w:styleId="966" w:customStyle="1">
    <w:name w:val="纯文本 字符1"/>
    <w:uiPriority w:val="0"/>
    <w:qFormat/>
    <w:rPr>
      <w:rFonts w:ascii="宋体" w:hAnsi="Courier New" w:eastAsia="宋体" w:cs="Times New Roman"/>
      <w:sz w:val="20"/>
      <w:szCs w:val="21"/>
    </w:rPr>
  </w:style>
  <w:style w:type="paragraph" w:styleId="967">
    <w:name w:val="List Paragraph"/>
    <w:basedOn w:val="917"/>
    <w:uiPriority w:val="34"/>
    <w:qFormat/>
    <w:pPr>
      <w:ind w:firstLine="420"/>
    </w:pPr>
    <w:rPr>
      <w:rFonts w:ascii="Calibri" w:hAnsi="Calibri"/>
    </w:rPr>
  </w:style>
  <w:style w:type="paragraph" w:styleId="968" w:customStyle="1">
    <w:name w:val="正文1"/>
    <w:next w:val="969"/>
    <w:uiPriority w:val="99"/>
    <w:qFormat/>
    <w:pPr>
      <w:jc w:val="both"/>
      <w:spacing w:line="312" w:lineRule="atLeast"/>
      <w:widowControl w:val="off"/>
    </w:pPr>
    <w:rPr>
      <w:rFonts w:ascii="宋体" w:hAnsi="Times New Roman" w:eastAsia="宋体" w:cs="宋体"/>
      <w:sz w:val="34"/>
      <w:szCs w:val="34"/>
      <w:lang w:val="en-US" w:eastAsia="zh-CN" w:bidi="ar-SA"/>
    </w:rPr>
  </w:style>
  <w:style w:type="paragraph" w:styleId="969" w:customStyle="1">
    <w:name w:val="正文文本1"/>
    <w:basedOn w:val="968"/>
    <w:next w:val="970"/>
    <w:uiPriority w:val="0"/>
    <w:qFormat/>
    <w:pPr>
      <w:spacing w:after="120"/>
    </w:pPr>
    <w:rPr>
      <w:lang w:val="en-US" w:eastAsia="en-US"/>
    </w:rPr>
  </w:style>
  <w:style w:type="paragraph" w:styleId="970" w:customStyle="1">
    <w:name w:val="一级条标题"/>
    <w:basedOn w:val="971"/>
    <w:next w:val="9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1" w:customStyle="1">
    <w:name w:val="章标题"/>
    <w:next w:val="91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2" w:customStyle="1">
    <w:name w:val="段"/>
    <w:basedOn w:val="968"/>
    <w:next w:val="917"/>
    <w:uiPriority w:val="0"/>
    <w:qFormat/>
    <w:pPr>
      <w:ind w:firstLine="200"/>
      <w:widowControl/>
    </w:pPr>
    <w:rPr>
      <w:rFonts w:ascii="宋体"/>
      <w:sz w:val="20"/>
      <w:szCs w:val="20"/>
    </w:rPr>
  </w:style>
  <w:style w:type="paragraph" w:styleId="97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4" w:customStyle="1">
    <w:name w:val="表内文字居左"/>
    <w:uiPriority w:val="0"/>
    <w:qFormat/>
    <w:pPr>
      <w:jc w:val="both"/>
      <w:widowControl w:val="off"/>
    </w:pPr>
    <w:rPr>
      <w:rFonts w:ascii="Times New Roman" w:hAnsi="Times New Roman" w:eastAsia="宋体" w:cs="Times New Roman"/>
      <w:sz w:val="24"/>
      <w:szCs w:val="24"/>
      <w:lang w:val="en-US" w:eastAsia="zh-CN" w:bidi="ar-SA"/>
    </w:rPr>
  </w:style>
  <w:style w:type="paragraph" w:styleId="975" w:customStyle="1">
    <w:name w:val="UserStyle_0"/>
    <w:basedOn w:val="917"/>
    <w:uiPriority w:val="0"/>
    <w:qFormat/>
    <w:pPr>
      <w:ind w:firstLine="420"/>
      <w:jc w:val="both"/>
    </w:pPr>
    <w:rPr>
      <w:rFonts w:ascii="Calibri" w:hAnsi="Calibri" w:eastAsia="宋体"/>
      <w:sz w:val="21"/>
      <w:szCs w:val="21"/>
      <w:lang w:val="en-US" w:eastAsia="zh-CN" w:bidi="ar-SA"/>
    </w:rPr>
  </w:style>
  <w:style w:type="paragraph" w:styleId="976" w:customStyle="1">
    <w:name w:val="普通(网站)1"/>
    <w:basedOn w:val="917"/>
    <w:uiPriority w:val="0"/>
    <w:qFormat/>
    <w:rPr>
      <w:rFonts w:ascii="Times New Roman" w:hAnsi="Times New Roman"/>
      <w:sz w:val="24"/>
    </w:rPr>
  </w:style>
  <w:style w:type="character" w:styleId="977" w:customStyle="1">
    <w:name w:val="要点1"/>
    <w:uiPriority w:val="0"/>
    <w:qFormat/>
    <w:rPr>
      <w:rFonts w:ascii="Calibri" w:hAnsi="Calibri"/>
      <w:sz w:val="21"/>
      <w:szCs w:val="22"/>
      <w:lang w:val="en-US" w:eastAsia="zh-CN" w:bidi="ar-SA"/>
    </w:rPr>
  </w:style>
  <w:style w:type="paragraph" w:styleId="978" w:customStyle="1">
    <w:name w:val="彩色列表 - 着色 11"/>
    <w:basedOn w:val="917"/>
    <w:uiPriority w:val="0"/>
    <w:qFormat/>
    <w:pPr>
      <w:ind w:firstLine="420"/>
    </w:pPr>
    <w:rPr>
      <w:sz w:val="20"/>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王美玲</cp:lastModifiedBy>
  <cp:revision>40</cp:revision>
  <dcterms:created xsi:type="dcterms:W3CDTF">2023-02-08T07:47:00Z</dcterms:created>
  <dcterms:modified xsi:type="dcterms:W3CDTF">2025-12-29T01:49:48Z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0986F36DD6694482ACA0C702708873D8_13</vt:lpwstr>
  </property>
  <property fmtid="{D5CDD505-2E9C-101B-9397-08002B2CF9AE}" pid="4" name="KSOTemplateDocerSaveRecord">
    <vt:lpwstr>eyJoZGlkIjoiZWI3ZDU0M2IwMTU2ZGViYjMzMGVjZWY0NDliYjFkMjUiLCJ1c2VySWQiOiIzMDUxODA3NjcifQ==</vt:lpwstr>
  </property>
</Properties>
</file>